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C8F" w:rsidRDefault="002F5C8F" w:rsidP="002F5C8F">
      <w:pPr>
        <w:pStyle w:val="Title"/>
        <w:jc w:val="center"/>
      </w:pPr>
      <w:bookmarkStart w:id="0" w:name="_GoBack"/>
      <w:bookmarkEnd w:id="0"/>
      <w:r>
        <w:t>Faculty Senate Minutes for</w:t>
      </w:r>
    </w:p>
    <w:p w:rsidR="002F5C8F" w:rsidRDefault="00034F85" w:rsidP="002F5C8F">
      <w:pPr>
        <w:pStyle w:val="Title"/>
        <w:jc w:val="center"/>
      </w:pPr>
      <w:r>
        <w:t xml:space="preserve">March </w:t>
      </w:r>
      <w:r w:rsidR="0042156C">
        <w:t>18</w:t>
      </w:r>
      <w:r w:rsidR="00AD4D30">
        <w:t>,</w:t>
      </w:r>
      <w:r w:rsidR="002F5C8F">
        <w:t xml:space="preserve"> 201</w:t>
      </w:r>
      <w:r w:rsidR="0097739A">
        <w:t>1</w:t>
      </w:r>
    </w:p>
    <w:p w:rsidR="002F5C8F" w:rsidRDefault="002F5C8F" w:rsidP="002F5C8F">
      <w:r>
        <w:t>The meeting was called to order by President Beverly Boals Gilbert at 3:0</w:t>
      </w:r>
      <w:r w:rsidR="00034F85">
        <w:t>0</w:t>
      </w:r>
      <w:r>
        <w:t xml:space="preserve"> p.m.</w:t>
      </w:r>
    </w:p>
    <w:p w:rsidR="002F5C8F" w:rsidRDefault="002F5C8F" w:rsidP="002F5C8F">
      <w:proofErr w:type="gramStart"/>
      <w:r>
        <w:t xml:space="preserve">Senators </w:t>
      </w:r>
      <w:r w:rsidR="0042156C">
        <w:t>Bill Humphrey and Rich Burns</w:t>
      </w:r>
      <w:r w:rsidR="007B62D7">
        <w:t xml:space="preserve"> </w:t>
      </w:r>
      <w:r>
        <w:t xml:space="preserve">(M/S) </w:t>
      </w:r>
      <w:r w:rsidR="0097739A">
        <w:t>the approval of the minutes.</w:t>
      </w:r>
      <w:proofErr w:type="gramEnd"/>
      <w:r w:rsidR="0097739A">
        <w:t xml:space="preserve"> </w:t>
      </w:r>
      <w:r w:rsidR="00AD4D30">
        <w:t xml:space="preserve"> </w:t>
      </w:r>
      <w:r w:rsidR="00034F85">
        <w:t>The minutes were approved by voice vote.</w:t>
      </w:r>
    </w:p>
    <w:p w:rsidR="006C29B6" w:rsidRPr="00035491" w:rsidRDefault="00A1547D" w:rsidP="002F5C8F">
      <w:pPr>
        <w:rPr>
          <w:b/>
        </w:rPr>
      </w:pPr>
      <w:r w:rsidRPr="00035491">
        <w:rPr>
          <w:b/>
        </w:rPr>
        <w:t>NEW</w:t>
      </w:r>
      <w:r w:rsidR="006C29B6" w:rsidRPr="00035491">
        <w:rPr>
          <w:b/>
        </w:rPr>
        <w:t xml:space="preserve"> BUSINESS</w:t>
      </w:r>
    </w:p>
    <w:p w:rsidR="00034F85" w:rsidRDefault="002F5C8F" w:rsidP="002F5C8F">
      <w:r>
        <w:t>P</w:t>
      </w:r>
      <w:r w:rsidR="00034F85">
        <w:t>r</w:t>
      </w:r>
      <w:r w:rsidR="0042156C">
        <w:t>esident Gilbert announced that the deadline for faculty volunteers to fill committee vacancies is April 15, 2011. Senators should forward the names of volunteers to President Gilbert by that date.</w:t>
      </w:r>
    </w:p>
    <w:p w:rsidR="0042156C" w:rsidRDefault="0042156C" w:rsidP="002F5C8F">
      <w:r>
        <w:t xml:space="preserve">Senator Burns and President-Elect Jack </w:t>
      </w:r>
      <w:proofErr w:type="spellStart"/>
      <w:r>
        <w:t>Zibluk</w:t>
      </w:r>
      <w:proofErr w:type="spellEnd"/>
      <w:r>
        <w:t xml:space="preserve"> (M/S) that the Faculty Handbook section on faculty workload </w:t>
      </w:r>
      <w:r w:rsidR="000A5896">
        <w:t>sh</w:t>
      </w:r>
      <w:r>
        <w:t xml:space="preserve">ould be changed from, “Teaching load of the faculty is normally twelve hours per semester” to “normally nine hours per semester.”  This change would be a clarification to make the handbook parallel the University’s strategic plan and mission.  The point was made that this would be a general guideline </w:t>
      </w:r>
      <w:r w:rsidR="009C138A">
        <w:t>with many exception</w:t>
      </w:r>
      <w:r w:rsidR="000A5896">
        <w:t>s</w:t>
      </w:r>
      <w:r w:rsidR="009C138A">
        <w:t xml:space="preserve"> and that different colleges would continue to have different workloads.</w:t>
      </w:r>
    </w:p>
    <w:p w:rsidR="0042156C" w:rsidRDefault="0042156C" w:rsidP="002F5C8F">
      <w:r>
        <w:t>The vote by show of hands was 20 in favor and two abstentions.</w:t>
      </w:r>
    </w:p>
    <w:p w:rsidR="009C138A" w:rsidRDefault="009C138A" w:rsidP="009C138A">
      <w:proofErr w:type="gramStart"/>
      <w:r>
        <w:t>Senators Mike McDaniel and Roy Aldridge (M/S) the adoption of SGOC 11SP-08 A Proposal for Interim Policies.</w:t>
      </w:r>
      <w:proofErr w:type="gramEnd"/>
      <w:r>
        <w:t xml:space="preserve">  The proposal reads: </w:t>
      </w:r>
    </w:p>
    <w:p w:rsidR="009C138A" w:rsidRDefault="009C138A" w:rsidP="009C138A">
      <w:r>
        <w:t xml:space="preserve">“The purpose of an interim policy is to enact policy during a timeframe of legislative urgency and/or when policy implementation cannot be accomplished due to the unavailability of a significant percentage of shareholders.  Policies hold interim status only until they can be reviewed by the shared governance process and will be time-limited to 1 year from the date of initial Board of Trustee interim approval.  </w:t>
      </w:r>
      <w:proofErr w:type="gramStart"/>
      <w:r>
        <w:t xml:space="preserve">(1.c. 2nd paragraph, </w:t>
      </w:r>
      <w:proofErr w:type="spellStart"/>
      <w:r>
        <w:t>pg</w:t>
      </w:r>
      <w:proofErr w:type="spellEnd"/>
      <w:r>
        <w:t xml:space="preserve"> 12).”</w:t>
      </w:r>
      <w:proofErr w:type="gramEnd"/>
    </w:p>
    <w:p w:rsidR="009C138A" w:rsidRDefault="009C138A" w:rsidP="009C138A">
      <w:r>
        <w:t>The proposal was approved unanimously by voice vote.</w:t>
      </w:r>
    </w:p>
    <w:p w:rsidR="009C138A" w:rsidRDefault="009C138A" w:rsidP="009C138A">
      <w:r>
        <w:t xml:space="preserve">Senators McDaniel and Andy </w:t>
      </w:r>
      <w:proofErr w:type="spellStart"/>
      <w:r>
        <w:t>Mooneyhan</w:t>
      </w:r>
      <w:proofErr w:type="spellEnd"/>
      <w:r>
        <w:t xml:space="preserve"> (M/S) the adoption of 11SP-09 An ASU Jonesboro Proposal for Inclusion of the ASU Systems Office in the Shared Governance Process. The proposal reads:</w:t>
      </w:r>
    </w:p>
    <w:p w:rsidR="009C138A" w:rsidRDefault="009C138A" w:rsidP="009C138A">
      <w:r>
        <w:t>“For shared governance proposals requiring university counsel review and/or system endorsement, the ASU System will respond with support, revision, or non</w:t>
      </w:r>
      <w:r w:rsidR="00DA3B8A">
        <w:t>-</w:t>
      </w:r>
      <w:r>
        <w:t xml:space="preserve">support with rationale within 21 working days of receipt of the proposal request.  </w:t>
      </w:r>
      <w:proofErr w:type="gramStart"/>
      <w:r>
        <w:t>( 1.c.2nd</w:t>
      </w:r>
      <w:proofErr w:type="gramEnd"/>
      <w:r>
        <w:t xml:space="preserve"> paragraph, </w:t>
      </w:r>
      <w:proofErr w:type="spellStart"/>
      <w:r>
        <w:t>pg</w:t>
      </w:r>
      <w:proofErr w:type="spellEnd"/>
      <w:r>
        <w:t xml:space="preserve"> 12)</w:t>
      </w:r>
      <w:proofErr w:type="gramStart"/>
      <w:r>
        <w:t>SGOC.”</w:t>
      </w:r>
      <w:proofErr w:type="gramEnd"/>
      <w:r>
        <w:t xml:space="preserve">  This proposal clarifies the pos</w:t>
      </w:r>
      <w:r w:rsidR="00DA3B8A">
        <w:t>i</w:t>
      </w:r>
      <w:r>
        <w:t xml:space="preserve">tion of </w:t>
      </w:r>
      <w:proofErr w:type="gramStart"/>
      <w:r>
        <w:t>the  ASU</w:t>
      </w:r>
      <w:proofErr w:type="gramEnd"/>
      <w:r>
        <w:t xml:space="preserve"> System within shared governance.</w:t>
      </w:r>
    </w:p>
    <w:p w:rsidR="009C138A" w:rsidRDefault="00DA3B8A" w:rsidP="009C138A">
      <w:r>
        <w:t>The proposal was approved unanimously by voice vote.</w:t>
      </w:r>
    </w:p>
    <w:p w:rsidR="00DA3B8A" w:rsidRDefault="00DA3B8A" w:rsidP="00DA3B8A">
      <w:proofErr w:type="gramStart"/>
      <w:r>
        <w:lastRenderedPageBreak/>
        <w:t>Senator McDaniel and Aldridge (M/S) the adoption of 11SP-10.</w:t>
      </w:r>
      <w:proofErr w:type="gramEnd"/>
      <w:r>
        <w:t xml:space="preserve"> </w:t>
      </w:r>
      <w:proofErr w:type="gramStart"/>
      <w:r>
        <w:t>An ASU Jonesboro Proposal for Chancellor to Inform Campus Community of Support and Forward in Board of Trustee Resolution Form to President as Appropriate.</w:t>
      </w:r>
      <w:proofErr w:type="gramEnd"/>
      <w:r>
        <w:t xml:space="preserve"> The proposal reads:</w:t>
      </w:r>
    </w:p>
    <w:p w:rsidR="00DA3B8A" w:rsidRDefault="00DA3B8A" w:rsidP="00DA3B8A">
      <w:r>
        <w:t xml:space="preserve">“Chancellor will inform campus community of support and forward ‘in Board of Trustee resolution form’ to President as appropriate….  </w:t>
      </w:r>
      <w:proofErr w:type="gramStart"/>
      <w:r>
        <w:t>(1.c.7.</w:t>
      </w:r>
      <w:proofErr w:type="gramEnd"/>
      <w:r>
        <w:t xml:space="preserve">  </w:t>
      </w:r>
      <w:proofErr w:type="spellStart"/>
      <w:proofErr w:type="gramStart"/>
      <w:r>
        <w:t>pg</w:t>
      </w:r>
      <w:proofErr w:type="spellEnd"/>
      <w:r>
        <w:t xml:space="preserve"> 28-29).”</w:t>
      </w:r>
      <w:proofErr w:type="gramEnd"/>
      <w:r>
        <w:t xml:space="preserve"> This proposal clarifies who has the responsibility to forward resolutions that have been approved by campus constituent groups.</w:t>
      </w:r>
    </w:p>
    <w:p w:rsidR="00DA3B8A" w:rsidRDefault="00DA3B8A" w:rsidP="00DA3B8A">
      <w:r>
        <w:t>The proposal was approved by voice vote with one abstention.</w:t>
      </w:r>
    </w:p>
    <w:p w:rsidR="009C138A" w:rsidRDefault="00DA3B8A" w:rsidP="009C138A">
      <w:r>
        <w:t>Without objection Senator McDaniel moved to table 11SP-11 An ASU Jonesboro Proposal for Creation of Task Forces as it was unclear what the intent of the proposal was.</w:t>
      </w:r>
    </w:p>
    <w:p w:rsidR="003F48B4" w:rsidRPr="003F48B4" w:rsidRDefault="003F48B4" w:rsidP="009C138A">
      <w:pPr>
        <w:rPr>
          <w:b/>
        </w:rPr>
      </w:pPr>
      <w:r>
        <w:rPr>
          <w:b/>
        </w:rPr>
        <w:t>OLD</w:t>
      </w:r>
      <w:r w:rsidRPr="003F48B4">
        <w:rPr>
          <w:b/>
        </w:rPr>
        <w:t xml:space="preserve"> BUSINESS</w:t>
      </w:r>
    </w:p>
    <w:p w:rsidR="00DA3B8A" w:rsidRDefault="00DA3B8A" w:rsidP="009C138A">
      <w:r>
        <w:t xml:space="preserve">The ad hoc Senate committee on the follow up to the Finance Committee Report submitted draft copies of two letters supporting the Finance Committee Report recommendations.  The first draft letter focused on faculty salary issues and the second draft letter emphasized faculty salaries but mentioned other issues also.  After discussion, Senators Burns and </w:t>
      </w:r>
      <w:proofErr w:type="spellStart"/>
      <w:r>
        <w:t>Mooneyhan</w:t>
      </w:r>
      <w:proofErr w:type="spellEnd"/>
      <w:r>
        <w:t xml:space="preserve"> (M/S</w:t>
      </w:r>
      <w:proofErr w:type="gramStart"/>
      <w:r>
        <w:t>)  that</w:t>
      </w:r>
      <w:proofErr w:type="gramEnd"/>
      <w:r>
        <w:t xml:space="preserve"> the first draft letter be approved by the Senate and sent to Interim Provost Glen Jones with the inclusion of the following paragraph from the second letter: “The current ASU-J administration has acknowledged the existence of inadequate salaries and expressed a willingness to address these inadequacies.  The Faculty Senate is hopeful that these issues will be placed as high priorities and addressed immediately.”</w:t>
      </w:r>
      <w:r w:rsidR="00384661">
        <w:t xml:space="preserve"> Other drafting changes will also be made including re-wording the sentence, “Salaries are not high enough to keep good faculty.”</w:t>
      </w:r>
    </w:p>
    <w:p w:rsidR="00384661" w:rsidRDefault="00384661" w:rsidP="009C138A">
      <w:r>
        <w:t>The motion passed with one no vote and one abstention.</w:t>
      </w:r>
    </w:p>
    <w:p w:rsidR="00384661" w:rsidRDefault="00384661" w:rsidP="009C138A">
      <w:r>
        <w:t>The re-drafted letter will be distributed to senators for approval on the Monday after spring break.</w:t>
      </w:r>
    </w:p>
    <w:p w:rsidR="00384661" w:rsidRDefault="00384661" w:rsidP="009C138A">
      <w:r>
        <w:t xml:space="preserve">Without objection President Gilbert appointed Senators Rich </w:t>
      </w:r>
      <w:proofErr w:type="spellStart"/>
      <w:r>
        <w:t>Grippo</w:t>
      </w:r>
      <w:proofErr w:type="spellEnd"/>
      <w:r>
        <w:t xml:space="preserve"> and Aldridge to an ad hoc committee to draft a second letter to Provost Jones emphasizing the other recommendation</w:t>
      </w:r>
      <w:r w:rsidR="00445B4D">
        <w:t>s</w:t>
      </w:r>
      <w:r>
        <w:t xml:space="preserve"> from the Finance Committee Report.</w:t>
      </w:r>
    </w:p>
    <w:p w:rsidR="009C138A" w:rsidRDefault="00384661" w:rsidP="002F5C8F">
      <w:r>
        <w:t>The Senate took up the tabled resolution from the February 18, 2011 Senate meeting, “Statement from C</w:t>
      </w:r>
      <w:r w:rsidR="004F4284">
        <w:t xml:space="preserve">ollege of Business </w:t>
      </w:r>
      <w:r>
        <w:t>Senators.”  The statement reads:</w:t>
      </w:r>
    </w:p>
    <w:p w:rsidR="00384661" w:rsidRDefault="00384661" w:rsidP="00384661">
      <w:r>
        <w:t>“The Senators from the College of Business have received comments regarding the issue of the President of the Faculty Senate continuing in her current position after becoming Dean of Continuing Education and Community Outreach.</w:t>
      </w:r>
    </w:p>
    <w:p w:rsidR="00384661" w:rsidRDefault="00384661" w:rsidP="00384661">
      <w:r>
        <w:t>We queried our faculty for their input on this issue. They responded that it would be disruptive to install a temporary President of the Faculty Senate for only the remaining three months of her term. One of the respondents pointed out to us the faculty handbook says:</w:t>
      </w:r>
    </w:p>
    <w:p w:rsidR="00384661" w:rsidRDefault="00384661" w:rsidP="00384661">
      <w:r>
        <w:lastRenderedPageBreak/>
        <w:t>‘Any faculty member eligible for service in the Faculty Senate shall be eligible to hold any elective office of the Faculty Association (See Article II, Section IX).’</w:t>
      </w:r>
    </w:p>
    <w:p w:rsidR="00384661" w:rsidRDefault="00384661" w:rsidP="00384661">
      <w:r>
        <w:t>Although the Faculty Handbook does not prohibit a Dean from serving as President of the Faculty Senate, we move that whenever possible, the Faculty Senate President will send other Faculty officers as proxies to the University Planning, Shared Governance, and any other Budget Committees to represent faculty interest for the remainder of the President’s term.”</w:t>
      </w:r>
    </w:p>
    <w:p w:rsidR="00384661" w:rsidRDefault="00384661" w:rsidP="00384661">
      <w:proofErr w:type="gramStart"/>
      <w:r>
        <w:t xml:space="preserve">Senators Aldridge and </w:t>
      </w:r>
      <w:proofErr w:type="spellStart"/>
      <w:r>
        <w:t>Marika</w:t>
      </w:r>
      <w:proofErr w:type="spellEnd"/>
      <w:r>
        <w:t xml:space="preserve"> </w:t>
      </w:r>
      <w:proofErr w:type="spellStart"/>
      <w:r>
        <w:t>Kyriakos</w:t>
      </w:r>
      <w:proofErr w:type="spellEnd"/>
      <w:r>
        <w:t xml:space="preserve"> (M/S)</w:t>
      </w:r>
      <w:r w:rsidR="004F4284">
        <w:t xml:space="preserve"> the adoption of the COB statement.</w:t>
      </w:r>
      <w:proofErr w:type="gramEnd"/>
    </w:p>
    <w:p w:rsidR="004F4284" w:rsidRDefault="004F4284" w:rsidP="00384661">
      <w:r>
        <w:t>The motion passed with a show of hands of 13 in favor, six opposed, and three abstentions.</w:t>
      </w:r>
    </w:p>
    <w:p w:rsidR="00384661" w:rsidRDefault="004F4284" w:rsidP="002F5C8F">
      <w:r>
        <w:t xml:space="preserve">President-elect </w:t>
      </w:r>
      <w:proofErr w:type="spellStart"/>
      <w:r>
        <w:t>Zibluk</w:t>
      </w:r>
      <w:proofErr w:type="spellEnd"/>
      <w:r>
        <w:t xml:space="preserve"> presented the following options from the Pre-Handbook Committee for Senate bylaw changes:</w:t>
      </w:r>
    </w:p>
    <w:p w:rsidR="004F4284" w:rsidRDefault="004F4284" w:rsidP="004F4284">
      <w:r>
        <w:t>“Section II: Eligibility</w:t>
      </w:r>
    </w:p>
    <w:p w:rsidR="004F4284" w:rsidRDefault="004F4284" w:rsidP="004F4284">
      <w:r>
        <w:t xml:space="preserve">OPTION </w:t>
      </w:r>
      <w:proofErr w:type="gramStart"/>
      <w:r>
        <w:t>I</w:t>
      </w:r>
      <w:proofErr w:type="gramEnd"/>
      <w:r>
        <w:t>:</w:t>
      </w:r>
    </w:p>
    <w:p w:rsidR="004F4284" w:rsidRDefault="004F4284" w:rsidP="004F4284">
      <w:r>
        <w:t>IN THE EVENT THAT AN OFFICER’S DUTIES CHANGE FROM THOSE THAT ARE PRIMARILY FACULTY TO PRIMARILY ADMINISTRATIVE (E.G., DEAN, DIRECTOR, OR DEPARTMENT CHAIR) DURING HIS OR HER TERM, THE OFFICER WILL RECUSE HIM OR HERSELF FROM ANY OR ALL DUTIES THAT MAY PRESENT THE APPEARANCE OF A CONFLICT OF INTEREST. THE RECUSAL WILL REMAIN IN EFFECT THROUGOUT THE REMAINDER OF THE OFFICER'S TERM AND WILL INCLUDE DESIGNATING OTHER EXECUTIVE COMMITTEE MEMBERS AS PROXIES FOR MEETINGS WHERE A POTENTIAL CONFLICT OF INTEREST COULD BE PERCEIVED.</w:t>
      </w:r>
    </w:p>
    <w:p w:rsidR="004F4284" w:rsidRDefault="004F4284" w:rsidP="004F4284">
      <w:r>
        <w:t>OPTION II:</w:t>
      </w:r>
    </w:p>
    <w:p w:rsidR="004F4284" w:rsidRDefault="004F4284" w:rsidP="004F4284">
      <w:r>
        <w:t>IF AN OFFICER’S ACADAMIC DUTIES CHANGE FROM PRIMARILY FACULTY TO PRIMARILY ADMINISTRATIVE ROLES SUCH AS DEAN, DIRECTOR OR DEPARTMENT CHAIR DURING HIS OR HER TERM, THE OFFICER WILL BE INELIGIBLE TO SERVE. IF SUCH A VAVANCY</w:t>
      </w:r>
      <w:r w:rsidR="003F48B4">
        <w:t xml:space="preserve"> O</w:t>
      </w:r>
      <w:r>
        <w:t>CCURS, THE SENATE WILL HOLD A SPECIAL ELECTION AMONG THE SENATORS FOR THAT POSITION. IF THE CHAIR TAKES ON A PRIMARILY ADMINISTRATIVE APPOINTMENT, THE VICE-CHAIR WILL SERVE IN HIS OR HER POSITION UNTIL A SPECIAL ELECTION CAN BE HELD.</w:t>
      </w:r>
    </w:p>
    <w:p w:rsidR="003F48B4" w:rsidRDefault="003F48B4" w:rsidP="002F5C8F">
      <w:proofErr w:type="gramStart"/>
      <w:r>
        <w:t xml:space="preserve">Senators John D. Hall and Alex </w:t>
      </w:r>
      <w:proofErr w:type="spellStart"/>
      <w:r>
        <w:t>Sydorenko</w:t>
      </w:r>
      <w:proofErr w:type="spellEnd"/>
      <w:r>
        <w:t xml:space="preserve"> (M/S) the adoption of the wording in Option II.</w:t>
      </w:r>
      <w:proofErr w:type="gramEnd"/>
    </w:p>
    <w:p w:rsidR="003F48B4" w:rsidRDefault="003F48B4" w:rsidP="002F5C8F">
      <w:r>
        <w:t>The motion was carried by a show of hands with 21 in favor and two abstentions.</w:t>
      </w:r>
    </w:p>
    <w:p w:rsidR="003F48B4" w:rsidRDefault="003F48B4" w:rsidP="002F5C8F">
      <w:r>
        <w:t xml:space="preserve">President Gilbert said that she would submit wording to </w:t>
      </w:r>
      <w:r w:rsidR="00445B4D">
        <w:t xml:space="preserve">change the Senate bylaws to </w:t>
      </w:r>
      <w:r>
        <w:t>allow an exception for the military science professor to the requirement that all senators have to have three years of employment at ASU before being elected.  The military science professor is on a rotation that would not ordinarily allow the necessary three years of experience.</w:t>
      </w:r>
    </w:p>
    <w:p w:rsidR="003F48B4" w:rsidRDefault="003F48B4" w:rsidP="002F5C8F">
      <w:r>
        <w:lastRenderedPageBreak/>
        <w:t xml:space="preserve">Without objection Senator McDaniel proposed that the </w:t>
      </w:r>
      <w:r w:rsidR="00FF17F1">
        <w:t>following three proposals be considered and approved as a single unit.</w:t>
      </w:r>
    </w:p>
    <w:p w:rsidR="00FF17F1" w:rsidRDefault="00445B4D" w:rsidP="00FF17F1">
      <w:pPr>
        <w:pStyle w:val="ListParagraph"/>
        <w:numPr>
          <w:ilvl w:val="0"/>
          <w:numId w:val="3"/>
        </w:numPr>
      </w:pPr>
      <w:r>
        <w:t>“</w:t>
      </w:r>
      <w:r w:rsidR="00FF17F1">
        <w:t>11SP-02 SGOC Proposal Submitted by the Faculty Senate</w:t>
      </w:r>
    </w:p>
    <w:p w:rsidR="00445B4D" w:rsidRDefault="00445B4D" w:rsidP="00445B4D">
      <w:pPr>
        <w:pStyle w:val="ListParagraph"/>
      </w:pPr>
    </w:p>
    <w:p w:rsidR="00FF17F1" w:rsidRDefault="00FF17F1" w:rsidP="00FF17F1">
      <w:r>
        <w:t xml:space="preserve">Recommendations for Strategies and Procedures to Facilitate Shared Governance </w:t>
      </w:r>
    </w:p>
    <w:p w:rsidR="00FF17F1" w:rsidRDefault="00FF17F1" w:rsidP="00FF17F1">
      <w:r>
        <w:t>Rationale and Justification:</w:t>
      </w:r>
    </w:p>
    <w:p w:rsidR="00FF17F1" w:rsidRDefault="00FF17F1" w:rsidP="00FF17F1">
      <w:r>
        <w:t xml:space="preserve">This proposal is based on the recommendations of the Shared Governance Subcommittee and the rationale and explanations are provided below.  The complete report can be viewed on the Faculty Senate Website, in the Documents section.     </w:t>
      </w:r>
    </w:p>
    <w:p w:rsidR="00FF17F1" w:rsidRDefault="00FF17F1" w:rsidP="00FF17F1">
      <w:r>
        <w:t>Academic shared governance committees “are the vehicle by which the faculty influences decisions and courses of action in areas of faculty responsibility  by being informed of, expressing views on, and making recommendations about academic issues affecting the institution”  In keeping with the spirit of academic shared governance, agreements between ASU and external parties that potentially affect “course of action in areas of faculty responsibility” should not be entered into without going through the shared governance process.  This would include, but is not limited to, contracts with online delivery providers.</w:t>
      </w:r>
      <w:r w:rsidR="00445B4D">
        <w:t>”</w:t>
      </w:r>
    </w:p>
    <w:p w:rsidR="00FF17F1" w:rsidRDefault="00FF17F1" w:rsidP="00FF17F1">
      <w:pPr>
        <w:pStyle w:val="ListParagraph"/>
        <w:numPr>
          <w:ilvl w:val="0"/>
          <w:numId w:val="3"/>
        </w:numPr>
      </w:pPr>
      <w:r>
        <w:t xml:space="preserve">  </w:t>
      </w:r>
      <w:r w:rsidR="00445B4D">
        <w:t>“</w:t>
      </w:r>
      <w:r>
        <w:t>11SP-03 SGOC Proposal Submitted by the Faculty Senate</w:t>
      </w:r>
    </w:p>
    <w:p w:rsidR="00445B4D" w:rsidRDefault="00445B4D" w:rsidP="00445B4D">
      <w:pPr>
        <w:pStyle w:val="ListParagraph"/>
      </w:pPr>
    </w:p>
    <w:p w:rsidR="00FF17F1" w:rsidRDefault="00FF17F1" w:rsidP="00FF17F1">
      <w:r>
        <w:t xml:space="preserve">Recommendations for Strategies and Procedures to Facilitate Shared Governance </w:t>
      </w:r>
    </w:p>
    <w:p w:rsidR="00FF17F1" w:rsidRDefault="00FF17F1" w:rsidP="00FF17F1">
      <w:r>
        <w:t>Rationale and Justification:</w:t>
      </w:r>
    </w:p>
    <w:p w:rsidR="00FF17F1" w:rsidRDefault="00FF17F1" w:rsidP="00FF17F1">
      <w:r>
        <w:t xml:space="preserve">This proposal is based on the recommendations of the Shared Governance Subcommittee and the rationale and explanations are provided below.  The complete report can be viewed on the Faculty Senate Website, in the Documents section.     </w:t>
      </w:r>
    </w:p>
    <w:p w:rsidR="00FF17F1" w:rsidRDefault="00FF17F1" w:rsidP="00FF17F1">
      <w:r>
        <w:t>In addition to the current practice of requiring new degree plans or changes in existing degree plans to be approved by the appropriate academic shared governance committee(s), all proposals to convert existing degree plans into online delivery programs should be routed through the appropriate academic shared governance committee(s) for approval.   This would include the Graduate Council for online graduate degrees or certificates and the Undergraduate Curriculum Committee for online undergraduate degrees.   The subcommittee recommends that an “online program” should be defined as a program in which at least 50% of the total credits will be offered through distance technology.  This is the standard used by the ADHE to determine whether an existing program requires ADHE approval.</w:t>
      </w:r>
      <w:r w:rsidR="00445B4D">
        <w:t>”</w:t>
      </w:r>
    </w:p>
    <w:p w:rsidR="001B36EB" w:rsidRDefault="00445B4D" w:rsidP="001B36EB">
      <w:pPr>
        <w:pStyle w:val="ListParagraph"/>
        <w:numPr>
          <w:ilvl w:val="0"/>
          <w:numId w:val="3"/>
        </w:numPr>
      </w:pPr>
      <w:r>
        <w:t>“</w:t>
      </w:r>
      <w:r w:rsidR="001B36EB">
        <w:t>011SP-04</w:t>
      </w:r>
      <w:r>
        <w:t xml:space="preserve"> </w:t>
      </w:r>
      <w:r w:rsidR="001B36EB">
        <w:t>SGOC Proposal Submitted by the Faculty Senate</w:t>
      </w:r>
    </w:p>
    <w:p w:rsidR="00445B4D" w:rsidRDefault="00445B4D" w:rsidP="00445B4D">
      <w:pPr>
        <w:pStyle w:val="ListParagraph"/>
      </w:pPr>
    </w:p>
    <w:p w:rsidR="001B36EB" w:rsidRDefault="001B36EB" w:rsidP="001B36EB">
      <w:r>
        <w:t xml:space="preserve">Recommendations for Strategies and Procedures to Facilitate Shared Governance </w:t>
      </w:r>
    </w:p>
    <w:p w:rsidR="001B36EB" w:rsidRDefault="001B36EB" w:rsidP="001B36EB">
      <w:r>
        <w:t>Rationale and Justification:</w:t>
      </w:r>
    </w:p>
    <w:p w:rsidR="001B36EB" w:rsidRDefault="001B36EB" w:rsidP="001B36EB">
      <w:r>
        <w:lastRenderedPageBreak/>
        <w:t xml:space="preserve">This proposal is based on the recommendations of the Shared Governance Subcommittee and the rationale and explanations are provided below.  The complete report can be viewed on the Faculty Senate Website, in the Documents section.     </w:t>
      </w:r>
    </w:p>
    <w:p w:rsidR="001B36EB" w:rsidRDefault="001B36EB" w:rsidP="001B36EB">
      <w:r>
        <w:t>Changes in existing online degree programs for which such changes may fall under the purview of academic shared governance should be routed through the corresponding academic shared governance committee for approval.   As an example, if an existing approved online program has course lengths, enrollment size, graduate faculty and graduate assistant usage, etc. that reflect the traditional classroom-based programs, but wishes to change its online delivery in such a manner that significantly changes these dynamics (i.e. significantly larger enrollments, the extensive use of teaching assistants, etc.), the proposed program should be routed through the corresponding academic shared governance committee for approval.</w:t>
      </w:r>
      <w:r w:rsidR="00445B4D">
        <w:t>”</w:t>
      </w:r>
    </w:p>
    <w:p w:rsidR="001B36EB" w:rsidRDefault="001B36EB" w:rsidP="00FF17F1">
      <w:proofErr w:type="gramStart"/>
      <w:r>
        <w:t xml:space="preserve">Senators McDaniel and </w:t>
      </w:r>
      <w:proofErr w:type="spellStart"/>
      <w:r>
        <w:t>Mooneyhan</w:t>
      </w:r>
      <w:proofErr w:type="spellEnd"/>
      <w:r>
        <w:t xml:space="preserve"> (M/S) the approval of the three preceding proposals.</w:t>
      </w:r>
      <w:proofErr w:type="gramEnd"/>
    </w:p>
    <w:p w:rsidR="001B36EB" w:rsidRDefault="001B36EB" w:rsidP="00FF17F1">
      <w:r>
        <w:t>A discussion followed on whether or not it was appropriate to have other units making decisions on whether and/or how colleges and departments should use online courses.</w:t>
      </w:r>
    </w:p>
    <w:p w:rsidR="001B36EB" w:rsidRDefault="001B36EB" w:rsidP="00FF17F1">
      <w:r>
        <w:t xml:space="preserve">After </w:t>
      </w:r>
      <w:r w:rsidR="00445B4D">
        <w:t xml:space="preserve">the </w:t>
      </w:r>
      <w:r>
        <w:t>discussion, the motion was approved by a show of hands with 16 in favor, four opposed, and four abstentions.</w:t>
      </w:r>
    </w:p>
    <w:p w:rsidR="001D5D3A" w:rsidRDefault="001D5D3A" w:rsidP="00FF17F1">
      <w:r>
        <w:t xml:space="preserve">Associate Vice President for Information and Technology Services Mark </w:t>
      </w:r>
      <w:proofErr w:type="spellStart"/>
      <w:r>
        <w:t>Hoe</w:t>
      </w:r>
      <w:r w:rsidR="00D54EC1">
        <w:t>t</w:t>
      </w:r>
      <w:r>
        <w:t>ing</w:t>
      </w:r>
      <w:proofErr w:type="spellEnd"/>
      <w:r>
        <w:t xml:space="preserve"> gave a report on the Policy on Information Management, Security, and Privacy.</w:t>
      </w:r>
    </w:p>
    <w:p w:rsidR="001D5D3A" w:rsidRDefault="001D5D3A" w:rsidP="00FF17F1">
      <w:r>
        <w:t xml:space="preserve">The policy is necessary </w:t>
      </w:r>
      <w:r w:rsidR="00445B4D">
        <w:t xml:space="preserve">he said </w:t>
      </w:r>
      <w:r>
        <w:t xml:space="preserve">in order to conform to legislative audit requirements, the recommendations of a private audit firm concerning current trends, and statutory requirements. Most of the policy is </w:t>
      </w:r>
      <w:r w:rsidR="00445B4D">
        <w:t xml:space="preserve">just </w:t>
      </w:r>
      <w:r>
        <w:t xml:space="preserve">codifying things that are currently being done to protect information and privacy.  It is not a system wide policy because the needs for four-year and two-year institutions are significantly different.  He said that no telephone calls would be monitored, that </w:t>
      </w:r>
      <w:proofErr w:type="gramStart"/>
      <w:r>
        <w:t>ITS is</w:t>
      </w:r>
      <w:proofErr w:type="gramEnd"/>
      <w:r>
        <w:t xml:space="preserve"> interested in </w:t>
      </w:r>
      <w:r w:rsidR="00D54EC1">
        <w:t xml:space="preserve">monitoring </w:t>
      </w:r>
      <w:r>
        <w:t>network traffic statistics and not in content, and that some illegal IP sites are permanently blocked from campus access.</w:t>
      </w:r>
    </w:p>
    <w:p w:rsidR="00D54EC1" w:rsidRDefault="00D54EC1" w:rsidP="00FF17F1">
      <w:r>
        <w:t>Senator McDaniel reported that the interim Policy on Information Technology Management, Security and Privacy has been pulled from Board of Trustees approval as it will not be a system-wide policy and will only apply to the ASUJ campus.</w:t>
      </w:r>
    </w:p>
    <w:p w:rsidR="00D54EC1" w:rsidRDefault="00D54EC1" w:rsidP="007B62D7">
      <w:r>
        <w:t xml:space="preserve">Senators Bill Humphrey and </w:t>
      </w:r>
      <w:proofErr w:type="spellStart"/>
      <w:r>
        <w:t>Grippo</w:t>
      </w:r>
      <w:proofErr w:type="spellEnd"/>
      <w:r>
        <w:t xml:space="preserve"> (</w:t>
      </w:r>
      <w:r w:rsidR="00E23861">
        <w:t xml:space="preserve">M/S) </w:t>
      </w:r>
      <w:r>
        <w:t>the approval of 11SP-13 An ASU Jonesboro Proposal to Amend the ASU Faculty Handbook Regarding the Type of Days in Timeline and Deadlines.</w:t>
      </w:r>
    </w:p>
    <w:p w:rsidR="00D54EC1" w:rsidRDefault="00D54EC1" w:rsidP="007B62D7">
      <w:r>
        <w:t>The proposal reads:</w:t>
      </w:r>
    </w:p>
    <w:p w:rsidR="00D54EC1" w:rsidRDefault="00D54EC1" w:rsidP="007B62D7">
      <w:r>
        <w:t>“The Faculty Handbook Committee has recognized a discrepancy within the handbook regarding ‘days’. Day</w:t>
      </w:r>
      <w:r w:rsidR="005B4A11">
        <w:t>s</w:t>
      </w:r>
      <w:r>
        <w:t xml:space="preserve"> are described as business days, work days and calendar days.  In an effort to provide consistency and clarity, we propose that ‘days’ throughout the faculty handbook all be ‘business days’.  This will allow for uniform handling of any issue involving set timeframe with shared gover</w:t>
      </w:r>
      <w:r w:rsidR="005B4A11">
        <w:t>n</w:t>
      </w:r>
      <w:r>
        <w:t>a</w:t>
      </w:r>
      <w:r w:rsidR="005B4A11">
        <w:t>n</w:t>
      </w:r>
      <w:r>
        <w:t>ce.”</w:t>
      </w:r>
    </w:p>
    <w:p w:rsidR="00D54EC1" w:rsidRDefault="00D54EC1" w:rsidP="007B62D7">
      <w:r>
        <w:lastRenderedPageBreak/>
        <w:t>The motion passed unanimously by voice vote.</w:t>
      </w:r>
    </w:p>
    <w:p w:rsidR="00E23861" w:rsidRDefault="00D54EC1" w:rsidP="007B62D7">
      <w:r>
        <w:t xml:space="preserve">The Senate acknowledged the service of Lt. Col. Jeffrey Helms as senator for the Department of Military Science. </w:t>
      </w:r>
      <w:r w:rsidR="00A9386F">
        <w:t xml:space="preserve"> Senator Helms thanked the Senate and introduced his successor, Lt. Col. Lee Clark.</w:t>
      </w:r>
    </w:p>
    <w:p w:rsidR="001951E7" w:rsidRDefault="00A9386F" w:rsidP="007B62D7">
      <w:r>
        <w:t xml:space="preserve">Without objection the Senate was adjourned at 4:33 p.m. on the motion of Senator </w:t>
      </w:r>
      <w:proofErr w:type="spellStart"/>
      <w:r>
        <w:t>Sydorenko</w:t>
      </w:r>
      <w:proofErr w:type="spellEnd"/>
      <w:r>
        <w:t>.</w:t>
      </w:r>
      <w:r w:rsidR="00F918DB">
        <w:t xml:space="preserve"> </w:t>
      </w:r>
    </w:p>
    <w:p w:rsidR="002F5C8F" w:rsidRDefault="002F5C8F" w:rsidP="002F5C8F">
      <w:pPr>
        <w:pStyle w:val="PlainText"/>
        <w:rPr>
          <w:b/>
          <w:szCs w:val="22"/>
        </w:rPr>
      </w:pPr>
      <w:r>
        <w:rPr>
          <w:b/>
          <w:szCs w:val="22"/>
        </w:rPr>
        <w:t>Attendees:</w:t>
      </w:r>
    </w:p>
    <w:p w:rsidR="002F5C8F" w:rsidRDefault="002F5C8F" w:rsidP="002F5C8F">
      <w:pPr>
        <w:pStyle w:val="PlainText"/>
        <w:rPr>
          <w:szCs w:val="22"/>
        </w:rPr>
      </w:pPr>
    </w:p>
    <w:p w:rsidR="002F5C8F" w:rsidRDefault="002F5C8F" w:rsidP="002F5C8F">
      <w:pPr>
        <w:pStyle w:val="PlainText"/>
        <w:rPr>
          <w:b/>
          <w:szCs w:val="22"/>
        </w:rPr>
      </w:pPr>
      <w:r>
        <w:rPr>
          <w:b/>
          <w:szCs w:val="22"/>
        </w:rPr>
        <w:t>Association officers:</w:t>
      </w:r>
    </w:p>
    <w:p w:rsidR="002F5C8F" w:rsidRDefault="00A9386F" w:rsidP="002F5C8F">
      <w:pPr>
        <w:pStyle w:val="PlainText"/>
        <w:rPr>
          <w:szCs w:val="22"/>
        </w:rPr>
      </w:pPr>
      <w:r>
        <w:rPr>
          <w:szCs w:val="22"/>
        </w:rPr>
        <w:t xml:space="preserve">President </w:t>
      </w:r>
      <w:r w:rsidR="002F5C8F">
        <w:rPr>
          <w:szCs w:val="22"/>
        </w:rPr>
        <w:t>Beverly Boals Gilbert</w:t>
      </w:r>
    </w:p>
    <w:p w:rsidR="002F5C8F" w:rsidRDefault="00A9386F" w:rsidP="002F5C8F">
      <w:pPr>
        <w:pStyle w:val="PlainText"/>
        <w:rPr>
          <w:szCs w:val="22"/>
        </w:rPr>
      </w:pPr>
      <w:r>
        <w:rPr>
          <w:szCs w:val="22"/>
        </w:rPr>
        <w:t xml:space="preserve">President-Elect </w:t>
      </w:r>
      <w:r w:rsidR="002F5C8F">
        <w:rPr>
          <w:szCs w:val="22"/>
        </w:rPr>
        <w:t xml:space="preserve">John B. </w:t>
      </w:r>
      <w:proofErr w:type="spellStart"/>
      <w:r w:rsidR="002F5C8F">
        <w:rPr>
          <w:szCs w:val="22"/>
        </w:rPr>
        <w:t>Zibluk</w:t>
      </w:r>
      <w:proofErr w:type="spellEnd"/>
    </w:p>
    <w:p w:rsidR="0051150D" w:rsidRDefault="00A9386F" w:rsidP="002F5C8F">
      <w:pPr>
        <w:pStyle w:val="PlainText"/>
        <w:rPr>
          <w:szCs w:val="22"/>
        </w:rPr>
      </w:pPr>
      <w:r>
        <w:rPr>
          <w:szCs w:val="22"/>
        </w:rPr>
        <w:t xml:space="preserve">Secretary/Treasurer </w:t>
      </w:r>
      <w:r w:rsidR="0051150D">
        <w:rPr>
          <w:szCs w:val="22"/>
        </w:rPr>
        <w:t xml:space="preserve">Richard S. </w:t>
      </w:r>
      <w:proofErr w:type="spellStart"/>
      <w:r w:rsidR="0051150D">
        <w:rPr>
          <w:szCs w:val="22"/>
        </w:rPr>
        <w:t>Grippo</w:t>
      </w:r>
      <w:proofErr w:type="spellEnd"/>
    </w:p>
    <w:p w:rsidR="00A9386F" w:rsidRDefault="00A9386F" w:rsidP="002F5C8F">
      <w:pPr>
        <w:pStyle w:val="PlainText"/>
        <w:rPr>
          <w:szCs w:val="22"/>
        </w:rPr>
      </w:pPr>
    </w:p>
    <w:p w:rsidR="00A9386F" w:rsidRPr="00A9386F" w:rsidRDefault="00A9386F" w:rsidP="002F5C8F">
      <w:pPr>
        <w:pStyle w:val="PlainText"/>
        <w:rPr>
          <w:b/>
          <w:szCs w:val="22"/>
        </w:rPr>
      </w:pPr>
      <w:r w:rsidRPr="00A9386F">
        <w:rPr>
          <w:b/>
          <w:szCs w:val="22"/>
        </w:rPr>
        <w:t>Agriculture:</w:t>
      </w:r>
    </w:p>
    <w:p w:rsidR="00A9386F" w:rsidRDefault="00A9386F" w:rsidP="002F5C8F">
      <w:pPr>
        <w:pStyle w:val="PlainText"/>
        <w:rPr>
          <w:szCs w:val="22"/>
        </w:rPr>
      </w:pPr>
      <w:r>
        <w:rPr>
          <w:szCs w:val="22"/>
        </w:rPr>
        <w:t>Bill Humphrey</w:t>
      </w:r>
    </w:p>
    <w:p w:rsidR="002F5C8F" w:rsidRDefault="002F5C8F" w:rsidP="002F5C8F">
      <w:pPr>
        <w:pStyle w:val="PlainText"/>
        <w:rPr>
          <w:szCs w:val="22"/>
        </w:rPr>
      </w:pPr>
    </w:p>
    <w:p w:rsidR="002F5C8F" w:rsidRDefault="002F5C8F" w:rsidP="002F5C8F">
      <w:pPr>
        <w:pStyle w:val="PlainText"/>
        <w:rPr>
          <w:b/>
          <w:szCs w:val="22"/>
        </w:rPr>
      </w:pPr>
      <w:r>
        <w:rPr>
          <w:b/>
          <w:szCs w:val="22"/>
        </w:rPr>
        <w:t>Business:</w:t>
      </w:r>
    </w:p>
    <w:p w:rsidR="002F5C8F" w:rsidRDefault="002F5C8F" w:rsidP="002F5C8F">
      <w:pPr>
        <w:pStyle w:val="PlainText"/>
        <w:rPr>
          <w:szCs w:val="22"/>
        </w:rPr>
      </w:pPr>
      <w:r>
        <w:rPr>
          <w:szCs w:val="22"/>
        </w:rPr>
        <w:t>Fay</w:t>
      </w:r>
      <w:r w:rsidR="0069568E">
        <w:rPr>
          <w:szCs w:val="22"/>
        </w:rPr>
        <w:t>e</w:t>
      </w:r>
      <w:r>
        <w:rPr>
          <w:szCs w:val="22"/>
        </w:rPr>
        <w:t xml:space="preserve"> K. Cocchiara</w:t>
      </w:r>
    </w:p>
    <w:p w:rsidR="002F5C8F" w:rsidRDefault="002F5C8F" w:rsidP="002F5C8F">
      <w:pPr>
        <w:pStyle w:val="PlainText"/>
        <w:rPr>
          <w:szCs w:val="22"/>
        </w:rPr>
      </w:pPr>
      <w:r>
        <w:rPr>
          <w:szCs w:val="22"/>
        </w:rPr>
        <w:t xml:space="preserve">Richard </w:t>
      </w:r>
      <w:proofErr w:type="spellStart"/>
      <w:r>
        <w:rPr>
          <w:szCs w:val="22"/>
        </w:rPr>
        <w:t>Segall</w:t>
      </w:r>
      <w:proofErr w:type="spellEnd"/>
    </w:p>
    <w:p w:rsidR="002F5C8F" w:rsidRDefault="002F5C8F" w:rsidP="002F5C8F">
      <w:pPr>
        <w:pStyle w:val="PlainText"/>
        <w:rPr>
          <w:szCs w:val="22"/>
        </w:rPr>
      </w:pPr>
      <w:r>
        <w:rPr>
          <w:szCs w:val="22"/>
        </w:rPr>
        <w:t>J</w:t>
      </w:r>
      <w:r w:rsidR="00A9386F">
        <w:rPr>
          <w:szCs w:val="22"/>
        </w:rPr>
        <w:t>.</w:t>
      </w:r>
      <w:r>
        <w:rPr>
          <w:szCs w:val="22"/>
        </w:rPr>
        <w:t xml:space="preserve"> K. Sinclaire</w:t>
      </w:r>
    </w:p>
    <w:p w:rsidR="002F5C8F" w:rsidRDefault="002F5C8F" w:rsidP="002F5C8F">
      <w:pPr>
        <w:pStyle w:val="PlainText"/>
        <w:rPr>
          <w:b/>
          <w:szCs w:val="22"/>
        </w:rPr>
      </w:pPr>
    </w:p>
    <w:p w:rsidR="002F5C8F" w:rsidRDefault="002F5C8F" w:rsidP="002F5C8F">
      <w:pPr>
        <w:pStyle w:val="PlainText"/>
        <w:rPr>
          <w:b/>
          <w:szCs w:val="22"/>
        </w:rPr>
      </w:pPr>
      <w:r>
        <w:rPr>
          <w:b/>
          <w:szCs w:val="22"/>
        </w:rPr>
        <w:t>Education:</w:t>
      </w:r>
    </w:p>
    <w:p w:rsidR="004C20DB" w:rsidRDefault="004C20DB" w:rsidP="002F5C8F">
      <w:pPr>
        <w:pStyle w:val="PlainText"/>
        <w:rPr>
          <w:szCs w:val="22"/>
        </w:rPr>
      </w:pPr>
      <w:r>
        <w:rPr>
          <w:szCs w:val="22"/>
        </w:rPr>
        <w:t>Patty Murphy</w:t>
      </w:r>
    </w:p>
    <w:p w:rsidR="00A9386F" w:rsidRDefault="00A9386F" w:rsidP="002F5C8F">
      <w:pPr>
        <w:pStyle w:val="PlainText"/>
        <w:rPr>
          <w:szCs w:val="22"/>
        </w:rPr>
      </w:pPr>
      <w:r>
        <w:rPr>
          <w:szCs w:val="22"/>
        </w:rPr>
        <w:t xml:space="preserve">Andy </w:t>
      </w:r>
      <w:proofErr w:type="spellStart"/>
      <w:r>
        <w:rPr>
          <w:szCs w:val="22"/>
        </w:rPr>
        <w:t>Mooneyhan</w:t>
      </w:r>
      <w:proofErr w:type="spellEnd"/>
    </w:p>
    <w:p w:rsidR="0069568E" w:rsidRDefault="00A9386F" w:rsidP="002F5C8F">
      <w:pPr>
        <w:pStyle w:val="PlainText"/>
        <w:rPr>
          <w:szCs w:val="22"/>
        </w:rPr>
      </w:pPr>
      <w:r>
        <w:rPr>
          <w:szCs w:val="22"/>
        </w:rPr>
        <w:t>John D. Hall</w:t>
      </w:r>
    </w:p>
    <w:p w:rsidR="002F5C8F" w:rsidRDefault="00A9386F" w:rsidP="002F5C8F">
      <w:pPr>
        <w:pStyle w:val="PlainText"/>
        <w:rPr>
          <w:szCs w:val="22"/>
        </w:rPr>
      </w:pPr>
      <w:r>
        <w:rPr>
          <w:szCs w:val="22"/>
        </w:rPr>
        <w:t>Jackie McBride</w:t>
      </w:r>
      <w:r w:rsidR="00D76F7F">
        <w:rPr>
          <w:szCs w:val="22"/>
        </w:rPr>
        <w:t xml:space="preserve"> </w:t>
      </w:r>
    </w:p>
    <w:p w:rsidR="002F5C8F" w:rsidRDefault="00316BC6" w:rsidP="002F5C8F">
      <w:pPr>
        <w:pStyle w:val="PlainText"/>
        <w:rPr>
          <w:szCs w:val="22"/>
        </w:rPr>
      </w:pPr>
      <w:proofErr w:type="spellStart"/>
      <w:r>
        <w:rPr>
          <w:szCs w:val="22"/>
        </w:rPr>
        <w:t>Amany</w:t>
      </w:r>
      <w:proofErr w:type="spellEnd"/>
      <w:r>
        <w:rPr>
          <w:szCs w:val="22"/>
        </w:rPr>
        <w:t xml:space="preserve"> </w:t>
      </w:r>
      <w:proofErr w:type="spellStart"/>
      <w:r>
        <w:rPr>
          <w:szCs w:val="22"/>
        </w:rPr>
        <w:t>Saleh</w:t>
      </w:r>
      <w:proofErr w:type="spellEnd"/>
    </w:p>
    <w:p w:rsidR="0069568E" w:rsidRDefault="0069568E" w:rsidP="002F5C8F">
      <w:pPr>
        <w:pStyle w:val="PlainText"/>
        <w:rPr>
          <w:szCs w:val="22"/>
        </w:rPr>
      </w:pPr>
      <w:r>
        <w:rPr>
          <w:szCs w:val="22"/>
        </w:rPr>
        <w:t>Dixie Keyes</w:t>
      </w:r>
    </w:p>
    <w:p w:rsidR="002F5C8F" w:rsidRDefault="002F5C8F" w:rsidP="002F5C8F">
      <w:pPr>
        <w:pStyle w:val="PlainText"/>
        <w:rPr>
          <w:b/>
          <w:szCs w:val="22"/>
        </w:rPr>
      </w:pPr>
    </w:p>
    <w:p w:rsidR="002F5C8F" w:rsidRDefault="002F5C8F" w:rsidP="002F5C8F">
      <w:pPr>
        <w:pStyle w:val="PlainText"/>
        <w:rPr>
          <w:b/>
          <w:szCs w:val="22"/>
        </w:rPr>
      </w:pPr>
      <w:r>
        <w:rPr>
          <w:b/>
          <w:szCs w:val="22"/>
        </w:rPr>
        <w:t>Fine Arts:</w:t>
      </w:r>
    </w:p>
    <w:p w:rsidR="002F5C8F" w:rsidRDefault="002F5C8F" w:rsidP="002F5C8F">
      <w:pPr>
        <w:pStyle w:val="PlainText"/>
        <w:rPr>
          <w:szCs w:val="22"/>
        </w:rPr>
      </w:pPr>
      <w:proofErr w:type="spellStart"/>
      <w:r>
        <w:rPr>
          <w:szCs w:val="22"/>
        </w:rPr>
        <w:t>Marika</w:t>
      </w:r>
      <w:proofErr w:type="spellEnd"/>
      <w:r>
        <w:rPr>
          <w:szCs w:val="22"/>
        </w:rPr>
        <w:t xml:space="preserve"> </w:t>
      </w:r>
      <w:proofErr w:type="spellStart"/>
      <w:r>
        <w:rPr>
          <w:szCs w:val="22"/>
        </w:rPr>
        <w:t>Kyriakos</w:t>
      </w:r>
      <w:proofErr w:type="spellEnd"/>
    </w:p>
    <w:p w:rsidR="002F5C8F" w:rsidRDefault="002F5C8F" w:rsidP="002F5C8F">
      <w:pPr>
        <w:pStyle w:val="PlainText"/>
        <w:rPr>
          <w:b/>
          <w:szCs w:val="22"/>
        </w:rPr>
      </w:pPr>
    </w:p>
    <w:p w:rsidR="002F5C8F" w:rsidRDefault="002F5C8F" w:rsidP="002F5C8F">
      <w:pPr>
        <w:pStyle w:val="PlainText"/>
        <w:rPr>
          <w:b/>
          <w:szCs w:val="22"/>
        </w:rPr>
      </w:pPr>
      <w:r>
        <w:rPr>
          <w:b/>
          <w:szCs w:val="22"/>
        </w:rPr>
        <w:t>Humanities and Social Sciences:</w:t>
      </w:r>
    </w:p>
    <w:p w:rsidR="002F5C8F" w:rsidRDefault="002F5C8F" w:rsidP="002F5C8F">
      <w:pPr>
        <w:pStyle w:val="PlainText"/>
        <w:rPr>
          <w:szCs w:val="22"/>
        </w:rPr>
      </w:pPr>
      <w:r>
        <w:rPr>
          <w:szCs w:val="22"/>
        </w:rPr>
        <w:t>Warren Johnson</w:t>
      </w:r>
    </w:p>
    <w:p w:rsidR="00316BC6" w:rsidRDefault="00316BC6" w:rsidP="002F5C8F">
      <w:pPr>
        <w:pStyle w:val="PlainText"/>
        <w:rPr>
          <w:szCs w:val="22"/>
        </w:rPr>
      </w:pPr>
      <w:r>
        <w:rPr>
          <w:szCs w:val="22"/>
        </w:rPr>
        <w:t>Richard Burns</w:t>
      </w:r>
    </w:p>
    <w:p w:rsidR="00A9386F" w:rsidRDefault="00A9386F" w:rsidP="002F5C8F">
      <w:pPr>
        <w:pStyle w:val="PlainText"/>
        <w:rPr>
          <w:szCs w:val="22"/>
        </w:rPr>
      </w:pPr>
      <w:r>
        <w:rPr>
          <w:szCs w:val="22"/>
        </w:rPr>
        <w:t>Larry Salinger</w:t>
      </w:r>
    </w:p>
    <w:p w:rsidR="0069568E" w:rsidRDefault="0069568E" w:rsidP="002F5C8F">
      <w:pPr>
        <w:pStyle w:val="PlainText"/>
        <w:rPr>
          <w:szCs w:val="22"/>
        </w:rPr>
      </w:pPr>
      <w:r>
        <w:rPr>
          <w:szCs w:val="22"/>
        </w:rPr>
        <w:t xml:space="preserve">Alex </w:t>
      </w:r>
      <w:proofErr w:type="spellStart"/>
      <w:r>
        <w:rPr>
          <w:szCs w:val="22"/>
        </w:rPr>
        <w:t>Sydorenko</w:t>
      </w:r>
      <w:proofErr w:type="spellEnd"/>
    </w:p>
    <w:p w:rsidR="002F5C8F" w:rsidRDefault="002F5C8F" w:rsidP="002F5C8F">
      <w:pPr>
        <w:pStyle w:val="PlainText"/>
        <w:rPr>
          <w:b/>
          <w:szCs w:val="22"/>
        </w:rPr>
      </w:pPr>
    </w:p>
    <w:p w:rsidR="002F5C8F" w:rsidRDefault="002F5C8F" w:rsidP="002F5C8F">
      <w:pPr>
        <w:pStyle w:val="PlainText"/>
        <w:rPr>
          <w:b/>
          <w:szCs w:val="22"/>
        </w:rPr>
      </w:pPr>
      <w:r>
        <w:rPr>
          <w:b/>
          <w:szCs w:val="22"/>
        </w:rPr>
        <w:t>Library:</w:t>
      </w:r>
    </w:p>
    <w:p w:rsidR="002F5C8F" w:rsidRDefault="002F5C8F" w:rsidP="002F5C8F">
      <w:pPr>
        <w:pStyle w:val="PlainText"/>
        <w:rPr>
          <w:szCs w:val="22"/>
        </w:rPr>
      </w:pPr>
      <w:r>
        <w:rPr>
          <w:szCs w:val="22"/>
        </w:rPr>
        <w:t xml:space="preserve">Myron </w:t>
      </w:r>
      <w:proofErr w:type="spellStart"/>
      <w:r>
        <w:rPr>
          <w:szCs w:val="22"/>
        </w:rPr>
        <w:t>Flugstad</w:t>
      </w:r>
      <w:proofErr w:type="spellEnd"/>
    </w:p>
    <w:p w:rsidR="002F5C8F" w:rsidRDefault="002F5C8F" w:rsidP="002F5C8F">
      <w:pPr>
        <w:pStyle w:val="PlainText"/>
        <w:rPr>
          <w:b/>
          <w:szCs w:val="22"/>
        </w:rPr>
      </w:pPr>
    </w:p>
    <w:p w:rsidR="00D17B69" w:rsidRDefault="00D17B69" w:rsidP="002F5C8F">
      <w:pPr>
        <w:pStyle w:val="PlainText"/>
        <w:rPr>
          <w:b/>
          <w:szCs w:val="22"/>
        </w:rPr>
      </w:pPr>
      <w:r>
        <w:rPr>
          <w:b/>
          <w:szCs w:val="22"/>
        </w:rPr>
        <w:t>Military Science:</w:t>
      </w:r>
    </w:p>
    <w:p w:rsidR="00D17B69" w:rsidRDefault="00D17B69" w:rsidP="002F5C8F">
      <w:pPr>
        <w:pStyle w:val="PlainText"/>
        <w:rPr>
          <w:szCs w:val="22"/>
        </w:rPr>
      </w:pPr>
      <w:r w:rsidRPr="00D17B69">
        <w:rPr>
          <w:szCs w:val="22"/>
        </w:rPr>
        <w:t>Jeff</w:t>
      </w:r>
      <w:r>
        <w:rPr>
          <w:szCs w:val="22"/>
        </w:rPr>
        <w:t>rey</w:t>
      </w:r>
      <w:r w:rsidRPr="00D17B69">
        <w:rPr>
          <w:szCs w:val="22"/>
        </w:rPr>
        <w:t xml:space="preserve"> Helms</w:t>
      </w:r>
    </w:p>
    <w:p w:rsidR="00D17B69" w:rsidRPr="00D17B69" w:rsidRDefault="00D17B69" w:rsidP="002F5C8F">
      <w:pPr>
        <w:pStyle w:val="PlainText"/>
        <w:rPr>
          <w:szCs w:val="22"/>
        </w:rPr>
      </w:pPr>
    </w:p>
    <w:p w:rsidR="00E734DA" w:rsidRDefault="00E734DA" w:rsidP="00E734DA">
      <w:pPr>
        <w:pStyle w:val="PlainText"/>
        <w:rPr>
          <w:b/>
          <w:szCs w:val="22"/>
        </w:rPr>
      </w:pPr>
      <w:r>
        <w:rPr>
          <w:b/>
          <w:szCs w:val="22"/>
        </w:rPr>
        <w:t>Nursing and Health Professions:</w:t>
      </w:r>
    </w:p>
    <w:p w:rsidR="00E734DA" w:rsidRDefault="00E734DA" w:rsidP="00E734DA">
      <w:pPr>
        <w:pStyle w:val="PlainText"/>
        <w:rPr>
          <w:szCs w:val="22"/>
        </w:rPr>
      </w:pPr>
      <w:r>
        <w:rPr>
          <w:szCs w:val="22"/>
        </w:rPr>
        <w:t>Bill Payne</w:t>
      </w:r>
    </w:p>
    <w:p w:rsidR="00D17B69" w:rsidRDefault="00D17B69" w:rsidP="00E734DA">
      <w:pPr>
        <w:pStyle w:val="PlainText"/>
        <w:rPr>
          <w:szCs w:val="22"/>
        </w:rPr>
      </w:pPr>
      <w:r>
        <w:rPr>
          <w:szCs w:val="22"/>
        </w:rPr>
        <w:t>Loretta Brewer</w:t>
      </w:r>
    </w:p>
    <w:p w:rsidR="00E734DA" w:rsidRDefault="00E734DA" w:rsidP="00E734DA">
      <w:pPr>
        <w:pStyle w:val="PlainText"/>
        <w:rPr>
          <w:szCs w:val="22"/>
        </w:rPr>
      </w:pPr>
      <w:r>
        <w:rPr>
          <w:szCs w:val="22"/>
        </w:rPr>
        <w:lastRenderedPageBreak/>
        <w:t>Roy Aldridge</w:t>
      </w:r>
    </w:p>
    <w:p w:rsidR="004C20DB" w:rsidRDefault="004C20DB" w:rsidP="00E734DA">
      <w:pPr>
        <w:pStyle w:val="PlainText"/>
        <w:rPr>
          <w:szCs w:val="22"/>
        </w:rPr>
      </w:pPr>
      <w:r>
        <w:rPr>
          <w:szCs w:val="22"/>
        </w:rPr>
        <w:t>Mi</w:t>
      </w:r>
      <w:r w:rsidR="00316BC6">
        <w:rPr>
          <w:szCs w:val="22"/>
        </w:rPr>
        <w:t>ke</w:t>
      </w:r>
      <w:r>
        <w:rPr>
          <w:szCs w:val="22"/>
        </w:rPr>
        <w:t xml:space="preserve"> McDaniel</w:t>
      </w:r>
    </w:p>
    <w:p w:rsidR="00316BC6" w:rsidRDefault="00316BC6" w:rsidP="00E734DA">
      <w:pPr>
        <w:pStyle w:val="PlainText"/>
        <w:rPr>
          <w:szCs w:val="22"/>
        </w:rPr>
      </w:pPr>
      <w:r>
        <w:rPr>
          <w:szCs w:val="22"/>
        </w:rPr>
        <w:t xml:space="preserve">Stacy </w:t>
      </w:r>
      <w:proofErr w:type="spellStart"/>
      <w:r>
        <w:rPr>
          <w:szCs w:val="22"/>
        </w:rPr>
        <w:t>Troxel</w:t>
      </w:r>
      <w:proofErr w:type="spellEnd"/>
    </w:p>
    <w:p w:rsidR="00E734DA" w:rsidRDefault="00E734DA" w:rsidP="00E734DA">
      <w:pPr>
        <w:pStyle w:val="PlainText"/>
        <w:rPr>
          <w:b/>
          <w:szCs w:val="22"/>
        </w:rPr>
      </w:pPr>
    </w:p>
    <w:p w:rsidR="00316BC6" w:rsidRPr="00316BC6" w:rsidRDefault="00316BC6" w:rsidP="00E734DA">
      <w:pPr>
        <w:pStyle w:val="PlainText"/>
        <w:rPr>
          <w:b/>
          <w:szCs w:val="22"/>
        </w:rPr>
      </w:pPr>
      <w:r w:rsidRPr="00316BC6">
        <w:rPr>
          <w:b/>
          <w:szCs w:val="22"/>
        </w:rPr>
        <w:t>Dean’s Council Representative:</w:t>
      </w:r>
    </w:p>
    <w:p w:rsidR="00E734DA" w:rsidRDefault="00316BC6" w:rsidP="00E734DA">
      <w:pPr>
        <w:pStyle w:val="PlainText"/>
        <w:rPr>
          <w:szCs w:val="22"/>
        </w:rPr>
      </w:pPr>
      <w:r>
        <w:rPr>
          <w:szCs w:val="22"/>
        </w:rPr>
        <w:t xml:space="preserve">Andrew </w:t>
      </w:r>
      <w:r w:rsidR="00D17B69">
        <w:rPr>
          <w:szCs w:val="22"/>
        </w:rPr>
        <w:t xml:space="preserve">J. </w:t>
      </w:r>
      <w:r>
        <w:rPr>
          <w:szCs w:val="22"/>
        </w:rPr>
        <w:t>Novobilski</w:t>
      </w:r>
    </w:p>
    <w:p w:rsidR="00316BC6" w:rsidRDefault="00316BC6" w:rsidP="00E734DA">
      <w:pPr>
        <w:pStyle w:val="PlainText"/>
        <w:rPr>
          <w:szCs w:val="22"/>
        </w:rPr>
      </w:pPr>
    </w:p>
    <w:p w:rsidR="00E734DA" w:rsidRDefault="00E734DA" w:rsidP="00E734DA">
      <w:pPr>
        <w:pStyle w:val="PlainText"/>
        <w:rPr>
          <w:b/>
          <w:szCs w:val="22"/>
        </w:rPr>
      </w:pPr>
      <w:r>
        <w:rPr>
          <w:b/>
          <w:szCs w:val="22"/>
        </w:rPr>
        <w:t>Visitors:</w:t>
      </w:r>
    </w:p>
    <w:p w:rsidR="00D17B69" w:rsidRDefault="00D17B69" w:rsidP="00E734DA">
      <w:pPr>
        <w:pStyle w:val="PlainText"/>
        <w:rPr>
          <w:szCs w:val="22"/>
        </w:rPr>
      </w:pPr>
      <w:proofErr w:type="spellStart"/>
      <w:r>
        <w:rPr>
          <w:szCs w:val="22"/>
        </w:rPr>
        <w:t>Lynita</w:t>
      </w:r>
      <w:proofErr w:type="spellEnd"/>
      <w:r>
        <w:rPr>
          <w:szCs w:val="22"/>
        </w:rPr>
        <w:t xml:space="preserve"> Cooksey</w:t>
      </w:r>
    </w:p>
    <w:p w:rsidR="00A9386F" w:rsidRDefault="00A9386F" w:rsidP="00E734DA">
      <w:pPr>
        <w:pStyle w:val="PlainText"/>
        <w:rPr>
          <w:szCs w:val="22"/>
        </w:rPr>
      </w:pPr>
      <w:r>
        <w:rPr>
          <w:szCs w:val="22"/>
        </w:rPr>
        <w:t>Cecil L. Clark</w:t>
      </w:r>
    </w:p>
    <w:p w:rsidR="00D17B69" w:rsidRDefault="00A9386F" w:rsidP="00E734DA">
      <w:pPr>
        <w:pStyle w:val="PlainText"/>
        <w:rPr>
          <w:szCs w:val="22"/>
        </w:rPr>
      </w:pPr>
      <w:r>
        <w:rPr>
          <w:szCs w:val="22"/>
        </w:rPr>
        <w:t xml:space="preserve">Mark </w:t>
      </w:r>
      <w:proofErr w:type="spellStart"/>
      <w:r>
        <w:rPr>
          <w:szCs w:val="22"/>
        </w:rPr>
        <w:t>Hoeting</w:t>
      </w:r>
      <w:proofErr w:type="spellEnd"/>
    </w:p>
    <w:p w:rsidR="00A9386F" w:rsidRDefault="00A9386F" w:rsidP="00E734DA">
      <w:pPr>
        <w:pStyle w:val="PlainText"/>
        <w:rPr>
          <w:szCs w:val="22"/>
        </w:rPr>
      </w:pPr>
    </w:p>
    <w:sectPr w:rsidR="00A938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1444B"/>
    <w:multiLevelType w:val="hybridMultilevel"/>
    <w:tmpl w:val="280250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D2795B"/>
    <w:multiLevelType w:val="hybridMultilevel"/>
    <w:tmpl w:val="B160579C"/>
    <w:lvl w:ilvl="0" w:tplc="FC527CA8">
      <w:start w:val="1"/>
      <w:numFmt w:val="decimal"/>
      <w:lvlText w:val="%1."/>
      <w:lvlJc w:val="left"/>
      <w:pPr>
        <w:ind w:left="720" w:hanging="360"/>
      </w:pPr>
      <w:rPr>
        <w:rFonts w:ascii="Calibri" w:hAnsi="Calibri" w:cs="Calibri"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AEE4905"/>
    <w:multiLevelType w:val="hybridMultilevel"/>
    <w:tmpl w:val="FC5014B8"/>
    <w:lvl w:ilvl="0" w:tplc="36E66242">
      <w:start w:val="3"/>
      <w:numFmt w:val="decimal"/>
      <w:lvlText w:val="%1."/>
      <w:lvlJc w:val="left"/>
      <w:pPr>
        <w:ind w:left="720" w:hanging="360"/>
      </w:pPr>
      <w:rPr>
        <w:rFonts w:ascii="Calibri" w:hAnsi="Calibri" w:cs="Calibri"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C8F"/>
    <w:rsid w:val="000172F3"/>
    <w:rsid w:val="00034F85"/>
    <w:rsid w:val="00035491"/>
    <w:rsid w:val="000A5896"/>
    <w:rsid w:val="000A6527"/>
    <w:rsid w:val="000D364E"/>
    <w:rsid w:val="00123BE4"/>
    <w:rsid w:val="00185A7D"/>
    <w:rsid w:val="001951E7"/>
    <w:rsid w:val="001B36EB"/>
    <w:rsid w:val="001C0AAB"/>
    <w:rsid w:val="001D5D3A"/>
    <w:rsid w:val="002078B7"/>
    <w:rsid w:val="00212A9E"/>
    <w:rsid w:val="002566EB"/>
    <w:rsid w:val="0029590B"/>
    <w:rsid w:val="002F37BB"/>
    <w:rsid w:val="002F5C8F"/>
    <w:rsid w:val="00316BC6"/>
    <w:rsid w:val="00384661"/>
    <w:rsid w:val="003B73D8"/>
    <w:rsid w:val="003C7FB6"/>
    <w:rsid w:val="003D5DD4"/>
    <w:rsid w:val="003F48B4"/>
    <w:rsid w:val="0042156C"/>
    <w:rsid w:val="00444A32"/>
    <w:rsid w:val="00445B4D"/>
    <w:rsid w:val="004528B2"/>
    <w:rsid w:val="004A7B25"/>
    <w:rsid w:val="004B4EE3"/>
    <w:rsid w:val="004C20DB"/>
    <w:rsid w:val="004C42E3"/>
    <w:rsid w:val="004F4284"/>
    <w:rsid w:val="0051150D"/>
    <w:rsid w:val="00590E4C"/>
    <w:rsid w:val="005B4A11"/>
    <w:rsid w:val="005D65F1"/>
    <w:rsid w:val="00664FFE"/>
    <w:rsid w:val="0069568E"/>
    <w:rsid w:val="00695B38"/>
    <w:rsid w:val="006A6099"/>
    <w:rsid w:val="006C29B6"/>
    <w:rsid w:val="00706BB2"/>
    <w:rsid w:val="00710E31"/>
    <w:rsid w:val="007749CC"/>
    <w:rsid w:val="007B62D7"/>
    <w:rsid w:val="007F3E24"/>
    <w:rsid w:val="007F55EB"/>
    <w:rsid w:val="00823F8C"/>
    <w:rsid w:val="008564D2"/>
    <w:rsid w:val="00867496"/>
    <w:rsid w:val="00881437"/>
    <w:rsid w:val="00892CC5"/>
    <w:rsid w:val="008B1A90"/>
    <w:rsid w:val="00960E37"/>
    <w:rsid w:val="0097739A"/>
    <w:rsid w:val="00997586"/>
    <w:rsid w:val="009C0C13"/>
    <w:rsid w:val="009C138A"/>
    <w:rsid w:val="009C76D3"/>
    <w:rsid w:val="009D2DEB"/>
    <w:rsid w:val="00A1547D"/>
    <w:rsid w:val="00A9386F"/>
    <w:rsid w:val="00AC0267"/>
    <w:rsid w:val="00AD4D30"/>
    <w:rsid w:val="00AE395A"/>
    <w:rsid w:val="00AE6DB1"/>
    <w:rsid w:val="00B1657A"/>
    <w:rsid w:val="00B345C9"/>
    <w:rsid w:val="00B50799"/>
    <w:rsid w:val="00B87554"/>
    <w:rsid w:val="00BA6705"/>
    <w:rsid w:val="00C0188F"/>
    <w:rsid w:val="00D17B69"/>
    <w:rsid w:val="00D25C74"/>
    <w:rsid w:val="00D27061"/>
    <w:rsid w:val="00D54EC1"/>
    <w:rsid w:val="00D76F7F"/>
    <w:rsid w:val="00DA3B8A"/>
    <w:rsid w:val="00E23861"/>
    <w:rsid w:val="00E734DA"/>
    <w:rsid w:val="00EA3C8C"/>
    <w:rsid w:val="00EA543B"/>
    <w:rsid w:val="00EE0C1F"/>
    <w:rsid w:val="00EF18B9"/>
    <w:rsid w:val="00F164FE"/>
    <w:rsid w:val="00F35479"/>
    <w:rsid w:val="00F809AE"/>
    <w:rsid w:val="00F918DB"/>
    <w:rsid w:val="00FB3933"/>
    <w:rsid w:val="00FF011E"/>
    <w:rsid w:val="00FF1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C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5C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5C8F"/>
    <w:rPr>
      <w:rFonts w:asciiTheme="majorHAnsi" w:eastAsiaTheme="majorEastAsia" w:hAnsiTheme="majorHAnsi" w:cstheme="majorBidi"/>
      <w:color w:val="17365D" w:themeColor="text2" w:themeShade="BF"/>
      <w:spacing w:val="5"/>
      <w:kern w:val="28"/>
      <w:sz w:val="52"/>
      <w:szCs w:val="52"/>
    </w:rPr>
  </w:style>
  <w:style w:type="paragraph" w:styleId="PlainText">
    <w:name w:val="Plain Text"/>
    <w:basedOn w:val="Normal"/>
    <w:link w:val="PlainTextChar"/>
    <w:uiPriority w:val="99"/>
    <w:semiHidden/>
    <w:unhideWhenUsed/>
    <w:rsid w:val="002F5C8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F5C8F"/>
    <w:rPr>
      <w:rFonts w:ascii="Calibri" w:hAnsi="Calibri"/>
      <w:szCs w:val="21"/>
    </w:rPr>
  </w:style>
  <w:style w:type="paragraph" w:styleId="BalloonText">
    <w:name w:val="Balloon Text"/>
    <w:basedOn w:val="Normal"/>
    <w:link w:val="BalloonTextChar"/>
    <w:uiPriority w:val="99"/>
    <w:semiHidden/>
    <w:unhideWhenUsed/>
    <w:rsid w:val="00B87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54"/>
    <w:rPr>
      <w:rFonts w:ascii="Tahoma" w:hAnsi="Tahoma" w:cs="Tahoma"/>
      <w:sz w:val="16"/>
      <w:szCs w:val="16"/>
    </w:rPr>
  </w:style>
  <w:style w:type="character" w:styleId="Hyperlink">
    <w:name w:val="Hyperlink"/>
    <w:basedOn w:val="DefaultParagraphFont"/>
    <w:uiPriority w:val="99"/>
    <w:unhideWhenUsed/>
    <w:rsid w:val="00A1547D"/>
    <w:rPr>
      <w:color w:val="0000FF"/>
      <w:u w:val="single"/>
    </w:rPr>
  </w:style>
  <w:style w:type="paragraph" w:styleId="ListParagraph">
    <w:name w:val="List Paragraph"/>
    <w:basedOn w:val="Normal"/>
    <w:uiPriority w:val="34"/>
    <w:qFormat/>
    <w:rsid w:val="00A1547D"/>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B50799"/>
    <w:rPr>
      <w:color w:val="800080" w:themeColor="followedHyperlink"/>
      <w:u w:val="single"/>
    </w:rPr>
  </w:style>
  <w:style w:type="paragraph" w:customStyle="1" w:styleId="Default">
    <w:name w:val="Default"/>
    <w:rsid w:val="009C0C13"/>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5C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F5C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F5C8F"/>
    <w:rPr>
      <w:rFonts w:asciiTheme="majorHAnsi" w:eastAsiaTheme="majorEastAsia" w:hAnsiTheme="majorHAnsi" w:cstheme="majorBidi"/>
      <w:color w:val="17365D" w:themeColor="text2" w:themeShade="BF"/>
      <w:spacing w:val="5"/>
      <w:kern w:val="28"/>
      <w:sz w:val="52"/>
      <w:szCs w:val="52"/>
    </w:rPr>
  </w:style>
  <w:style w:type="paragraph" w:styleId="PlainText">
    <w:name w:val="Plain Text"/>
    <w:basedOn w:val="Normal"/>
    <w:link w:val="PlainTextChar"/>
    <w:uiPriority w:val="99"/>
    <w:semiHidden/>
    <w:unhideWhenUsed/>
    <w:rsid w:val="002F5C8F"/>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2F5C8F"/>
    <w:rPr>
      <w:rFonts w:ascii="Calibri" w:hAnsi="Calibri"/>
      <w:szCs w:val="21"/>
    </w:rPr>
  </w:style>
  <w:style w:type="paragraph" w:styleId="BalloonText">
    <w:name w:val="Balloon Text"/>
    <w:basedOn w:val="Normal"/>
    <w:link w:val="BalloonTextChar"/>
    <w:uiPriority w:val="99"/>
    <w:semiHidden/>
    <w:unhideWhenUsed/>
    <w:rsid w:val="00B87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54"/>
    <w:rPr>
      <w:rFonts w:ascii="Tahoma" w:hAnsi="Tahoma" w:cs="Tahoma"/>
      <w:sz w:val="16"/>
      <w:szCs w:val="16"/>
    </w:rPr>
  </w:style>
  <w:style w:type="character" w:styleId="Hyperlink">
    <w:name w:val="Hyperlink"/>
    <w:basedOn w:val="DefaultParagraphFont"/>
    <w:uiPriority w:val="99"/>
    <w:unhideWhenUsed/>
    <w:rsid w:val="00A1547D"/>
    <w:rPr>
      <w:color w:val="0000FF"/>
      <w:u w:val="single"/>
    </w:rPr>
  </w:style>
  <w:style w:type="paragraph" w:styleId="ListParagraph">
    <w:name w:val="List Paragraph"/>
    <w:basedOn w:val="Normal"/>
    <w:uiPriority w:val="34"/>
    <w:qFormat/>
    <w:rsid w:val="00A1547D"/>
    <w:pPr>
      <w:spacing w:after="0" w:line="240" w:lineRule="auto"/>
      <w:ind w:left="720"/>
    </w:pPr>
    <w:rPr>
      <w:rFonts w:ascii="Calibri" w:hAnsi="Calibri" w:cs="Calibri"/>
    </w:rPr>
  </w:style>
  <w:style w:type="character" w:styleId="FollowedHyperlink">
    <w:name w:val="FollowedHyperlink"/>
    <w:basedOn w:val="DefaultParagraphFont"/>
    <w:uiPriority w:val="99"/>
    <w:semiHidden/>
    <w:unhideWhenUsed/>
    <w:rsid w:val="00B50799"/>
    <w:rPr>
      <w:color w:val="800080" w:themeColor="followedHyperlink"/>
      <w:u w:val="single"/>
    </w:rPr>
  </w:style>
  <w:style w:type="paragraph" w:customStyle="1" w:styleId="Default">
    <w:name w:val="Default"/>
    <w:rsid w:val="009C0C1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81232">
      <w:bodyDiv w:val="1"/>
      <w:marLeft w:val="0"/>
      <w:marRight w:val="0"/>
      <w:marTop w:val="0"/>
      <w:marBottom w:val="0"/>
      <w:divBdr>
        <w:top w:val="none" w:sz="0" w:space="0" w:color="auto"/>
        <w:left w:val="none" w:sz="0" w:space="0" w:color="auto"/>
        <w:bottom w:val="none" w:sz="0" w:space="0" w:color="auto"/>
        <w:right w:val="none" w:sz="0" w:space="0" w:color="auto"/>
      </w:divBdr>
    </w:div>
    <w:div w:id="95175401">
      <w:bodyDiv w:val="1"/>
      <w:marLeft w:val="0"/>
      <w:marRight w:val="0"/>
      <w:marTop w:val="0"/>
      <w:marBottom w:val="0"/>
      <w:divBdr>
        <w:top w:val="none" w:sz="0" w:space="0" w:color="auto"/>
        <w:left w:val="none" w:sz="0" w:space="0" w:color="auto"/>
        <w:bottom w:val="none" w:sz="0" w:space="0" w:color="auto"/>
        <w:right w:val="none" w:sz="0" w:space="0" w:color="auto"/>
      </w:divBdr>
    </w:div>
    <w:div w:id="226572921">
      <w:bodyDiv w:val="1"/>
      <w:marLeft w:val="0"/>
      <w:marRight w:val="0"/>
      <w:marTop w:val="0"/>
      <w:marBottom w:val="0"/>
      <w:divBdr>
        <w:top w:val="none" w:sz="0" w:space="0" w:color="auto"/>
        <w:left w:val="none" w:sz="0" w:space="0" w:color="auto"/>
        <w:bottom w:val="none" w:sz="0" w:space="0" w:color="auto"/>
        <w:right w:val="none" w:sz="0" w:space="0" w:color="auto"/>
      </w:divBdr>
    </w:div>
    <w:div w:id="235669794">
      <w:bodyDiv w:val="1"/>
      <w:marLeft w:val="0"/>
      <w:marRight w:val="0"/>
      <w:marTop w:val="0"/>
      <w:marBottom w:val="0"/>
      <w:divBdr>
        <w:top w:val="none" w:sz="0" w:space="0" w:color="auto"/>
        <w:left w:val="none" w:sz="0" w:space="0" w:color="auto"/>
        <w:bottom w:val="none" w:sz="0" w:space="0" w:color="auto"/>
        <w:right w:val="none" w:sz="0" w:space="0" w:color="auto"/>
      </w:divBdr>
    </w:div>
    <w:div w:id="332418921">
      <w:bodyDiv w:val="1"/>
      <w:marLeft w:val="0"/>
      <w:marRight w:val="0"/>
      <w:marTop w:val="0"/>
      <w:marBottom w:val="0"/>
      <w:divBdr>
        <w:top w:val="none" w:sz="0" w:space="0" w:color="auto"/>
        <w:left w:val="none" w:sz="0" w:space="0" w:color="auto"/>
        <w:bottom w:val="none" w:sz="0" w:space="0" w:color="auto"/>
        <w:right w:val="none" w:sz="0" w:space="0" w:color="auto"/>
      </w:divBdr>
    </w:div>
    <w:div w:id="737173236">
      <w:bodyDiv w:val="1"/>
      <w:marLeft w:val="0"/>
      <w:marRight w:val="0"/>
      <w:marTop w:val="0"/>
      <w:marBottom w:val="0"/>
      <w:divBdr>
        <w:top w:val="none" w:sz="0" w:space="0" w:color="auto"/>
        <w:left w:val="none" w:sz="0" w:space="0" w:color="auto"/>
        <w:bottom w:val="none" w:sz="0" w:space="0" w:color="auto"/>
        <w:right w:val="none" w:sz="0" w:space="0" w:color="auto"/>
      </w:divBdr>
    </w:div>
    <w:div w:id="971861458">
      <w:bodyDiv w:val="1"/>
      <w:marLeft w:val="0"/>
      <w:marRight w:val="0"/>
      <w:marTop w:val="0"/>
      <w:marBottom w:val="0"/>
      <w:divBdr>
        <w:top w:val="none" w:sz="0" w:space="0" w:color="auto"/>
        <w:left w:val="none" w:sz="0" w:space="0" w:color="auto"/>
        <w:bottom w:val="none" w:sz="0" w:space="0" w:color="auto"/>
        <w:right w:val="none" w:sz="0" w:space="0" w:color="auto"/>
      </w:divBdr>
    </w:div>
    <w:div w:id="1374647737">
      <w:bodyDiv w:val="1"/>
      <w:marLeft w:val="0"/>
      <w:marRight w:val="0"/>
      <w:marTop w:val="0"/>
      <w:marBottom w:val="0"/>
      <w:divBdr>
        <w:top w:val="none" w:sz="0" w:space="0" w:color="auto"/>
        <w:left w:val="none" w:sz="0" w:space="0" w:color="auto"/>
        <w:bottom w:val="none" w:sz="0" w:space="0" w:color="auto"/>
        <w:right w:val="none" w:sz="0" w:space="0" w:color="auto"/>
      </w:divBdr>
    </w:div>
    <w:div w:id="1620453613">
      <w:bodyDiv w:val="1"/>
      <w:marLeft w:val="0"/>
      <w:marRight w:val="0"/>
      <w:marTop w:val="0"/>
      <w:marBottom w:val="0"/>
      <w:divBdr>
        <w:top w:val="none" w:sz="0" w:space="0" w:color="auto"/>
        <w:left w:val="none" w:sz="0" w:space="0" w:color="auto"/>
        <w:bottom w:val="none" w:sz="0" w:space="0" w:color="auto"/>
        <w:right w:val="none" w:sz="0" w:space="0" w:color="auto"/>
      </w:divBdr>
    </w:div>
    <w:div w:id="1852445983">
      <w:bodyDiv w:val="1"/>
      <w:marLeft w:val="0"/>
      <w:marRight w:val="0"/>
      <w:marTop w:val="0"/>
      <w:marBottom w:val="0"/>
      <w:divBdr>
        <w:top w:val="none" w:sz="0" w:space="0" w:color="auto"/>
        <w:left w:val="none" w:sz="0" w:space="0" w:color="auto"/>
        <w:bottom w:val="none" w:sz="0" w:space="0" w:color="auto"/>
        <w:right w:val="none" w:sz="0" w:space="0" w:color="auto"/>
      </w:divBdr>
    </w:div>
    <w:div w:id="208216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2060</Words>
  <Characters>11742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Dean B. Ellis Library</Company>
  <LinksUpToDate>false</LinksUpToDate>
  <CharactersWithSpaces>13775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Myron Flugstad</dc:creator>
  <cp:lastModifiedBy>OyunErdene.Demchig</cp:lastModifiedBy>
  <cp:revision>2</cp:revision>
  <cp:lastPrinted>2011-03-21T14:48:00Z</cp:lastPrinted>
  <dcterms:created xsi:type="dcterms:W3CDTF">2011-04-04T14:25:00Z</dcterms:created>
  <dcterms:modified xsi:type="dcterms:W3CDTF">2011-04-04T14:25:00Z</dcterms:modified>
</cp:coreProperties>
</file>