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315F" w:rsidRPr="009B315F" w:rsidRDefault="009B315F" w:rsidP="009B315F">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9B315F">
        <w:rPr>
          <w:rFonts w:ascii="Times New Roman" w:eastAsia="Times New Roman" w:hAnsi="Times New Roman" w:cs="Times New Roman"/>
          <w:b/>
          <w:bCs/>
          <w:kern w:val="36"/>
          <w:sz w:val="48"/>
          <w:szCs w:val="48"/>
        </w:rPr>
        <w:t>Financial Exigency, Academic Governance, and Related Matters (2004)</w:t>
      </w:r>
    </w:p>
    <w:p w:rsidR="009B315F" w:rsidRPr="009B315F" w:rsidRDefault="009B315F" w:rsidP="009B315F">
      <w:pPr>
        <w:spacing w:before="100" w:beforeAutospacing="1" w:after="100" w:afterAutospacing="1" w:line="240" w:lineRule="auto"/>
        <w:rPr>
          <w:rFonts w:ascii="Times New Roman" w:eastAsia="Times New Roman" w:hAnsi="Times New Roman" w:cs="Times New Roman"/>
          <w:sz w:val="24"/>
          <w:szCs w:val="24"/>
        </w:rPr>
      </w:pPr>
      <w:r w:rsidRPr="009B315F">
        <w:rPr>
          <w:rFonts w:ascii="Times New Roman" w:eastAsia="Times New Roman" w:hAnsi="Times New Roman" w:cs="Times New Roman"/>
          <w:sz w:val="24"/>
          <w:szCs w:val="24"/>
        </w:rPr>
        <w:t xml:space="preserve">The report that follows was prepared by a joint subcommittee of the Association’s Committee A on Academic Freedom and Tenure and the Association’s Committee on College and University Governance, and has been approved for publication by the two standing committees. </w:t>
      </w:r>
    </w:p>
    <w:p w:rsidR="009B315F" w:rsidRPr="009B315F" w:rsidRDefault="009B315F" w:rsidP="009B315F">
      <w:pPr>
        <w:spacing w:after="0" w:line="240" w:lineRule="auto"/>
        <w:rPr>
          <w:rFonts w:ascii="Times New Roman" w:eastAsia="Times New Roman" w:hAnsi="Times New Roman" w:cs="Times New Roman"/>
          <w:sz w:val="24"/>
          <w:szCs w:val="24"/>
        </w:rPr>
      </w:pPr>
      <w:r w:rsidRPr="009B315F">
        <w:rPr>
          <w:rFonts w:ascii="Times New Roman" w:eastAsia="Times New Roman" w:hAnsi="Times New Roman" w:cs="Times New Roman"/>
          <w:sz w:val="24"/>
          <w:szCs w:val="24"/>
        </w:rPr>
        <w:pict>
          <v:rect id="_x0000_i1025" style="width:0;height:1.5pt" o:hralign="center" o:hrstd="t" o:hr="t" fillcolor="#aca899" stroked="f"/>
        </w:pict>
      </w:r>
    </w:p>
    <w:p w:rsidR="009B315F" w:rsidRPr="009B315F" w:rsidRDefault="009B315F" w:rsidP="009B315F">
      <w:pPr>
        <w:spacing w:after="0" w:line="240" w:lineRule="auto"/>
        <w:rPr>
          <w:rFonts w:ascii="Times New Roman" w:eastAsia="Times New Roman" w:hAnsi="Times New Roman" w:cs="Times New Roman"/>
          <w:sz w:val="24"/>
          <w:szCs w:val="24"/>
        </w:rPr>
      </w:pPr>
      <w:r w:rsidRPr="009B315F">
        <w:rPr>
          <w:rFonts w:ascii="Times New Roman" w:eastAsia="Times New Roman" w:hAnsi="Times New Roman" w:cs="Times New Roman"/>
          <w:sz w:val="24"/>
          <w:szCs w:val="24"/>
        </w:rPr>
        <w:t xml:space="preserve">Every college and university experiences some form of financial hardship at one time or another. The financial problems plaguing local and state governments in recent years have been sufficient by themselves to create serious problems for institutions across the country. At the very least, an institution’s financial difficulties can lead to the reallocation of resources; at the worst, they can threaten the institution’s existence. Faculty travel budgets and money for new faculty appointments are often early casualties. In the more serious cases, faculty and staff appointments are terminated, and academic programs and departments are reduced or eliminated. Some institutions ultimately close their doors. </w:t>
      </w:r>
    </w:p>
    <w:p w:rsidR="009B315F" w:rsidRPr="009B315F" w:rsidRDefault="009B315F" w:rsidP="009B315F">
      <w:pPr>
        <w:spacing w:before="100" w:beforeAutospacing="1" w:after="100" w:afterAutospacing="1" w:line="240" w:lineRule="auto"/>
        <w:rPr>
          <w:rFonts w:ascii="Times New Roman" w:eastAsia="Times New Roman" w:hAnsi="Times New Roman" w:cs="Times New Roman"/>
          <w:sz w:val="24"/>
          <w:szCs w:val="24"/>
        </w:rPr>
      </w:pPr>
      <w:r w:rsidRPr="009B315F">
        <w:rPr>
          <w:rFonts w:ascii="Times New Roman" w:eastAsia="Times New Roman" w:hAnsi="Times New Roman" w:cs="Times New Roman"/>
          <w:sz w:val="24"/>
          <w:szCs w:val="24"/>
        </w:rPr>
        <w:t>Because a college or university’s financial problems and an administration’s response to them can significantly affect faculty rights, faculty appointments, and the substance of academic programs, faculty have a keen interest in learning about these problems as soon as they start to emerge. Unfortunately, an institution’s financial difficulties can catch members of the faculty by surprise, too late for them to participate meaningfully in decisions about how the institution should respond to these problems. An institution’s declaration that it is in dire financial straits, like a declaration of war, often comes too late to avert disaster, if it comes at all.</w:t>
      </w:r>
    </w:p>
    <w:p w:rsidR="009B315F" w:rsidRPr="009B315F" w:rsidRDefault="009B315F" w:rsidP="009B315F">
      <w:pPr>
        <w:spacing w:before="100" w:beforeAutospacing="1" w:after="100" w:afterAutospacing="1" w:line="240" w:lineRule="auto"/>
        <w:rPr>
          <w:rFonts w:ascii="Times New Roman" w:eastAsia="Times New Roman" w:hAnsi="Times New Roman" w:cs="Times New Roman"/>
          <w:sz w:val="24"/>
          <w:szCs w:val="24"/>
        </w:rPr>
      </w:pPr>
      <w:r w:rsidRPr="009B315F">
        <w:rPr>
          <w:rFonts w:ascii="Times New Roman" w:eastAsia="Times New Roman" w:hAnsi="Times New Roman" w:cs="Times New Roman"/>
          <w:sz w:val="24"/>
          <w:szCs w:val="24"/>
        </w:rPr>
        <w:t>Over the years, the American Association of University Professors has developed standards and procedures to enable colleges and universities to protect academic freedom and to ensure academic due process when they have to contend with serious financial problems. In addition, the AAUP, under the auspices of its Committee A on Academic Freedom and Tenure, has investigated and reported on numerous instances in which the termination of appointments of faculty members on stated grounds of financial exigency has been deeply flawed, both procedurally and substantively.</w:t>
      </w:r>
    </w:p>
    <w:p w:rsidR="009B315F" w:rsidRPr="009B315F" w:rsidRDefault="009B315F" w:rsidP="009B315F">
      <w:pPr>
        <w:spacing w:before="100" w:beforeAutospacing="1" w:after="100" w:afterAutospacing="1" w:line="240" w:lineRule="auto"/>
        <w:rPr>
          <w:rFonts w:ascii="Times New Roman" w:eastAsia="Times New Roman" w:hAnsi="Times New Roman" w:cs="Times New Roman"/>
          <w:sz w:val="24"/>
          <w:szCs w:val="24"/>
        </w:rPr>
      </w:pPr>
      <w:r w:rsidRPr="009B315F">
        <w:rPr>
          <w:rFonts w:ascii="Times New Roman" w:eastAsia="Times New Roman" w:hAnsi="Times New Roman" w:cs="Times New Roman"/>
          <w:sz w:val="24"/>
          <w:szCs w:val="24"/>
        </w:rPr>
        <w:t xml:space="preserve">This report brings together the AAUP’s recommended standards and procedures and its experience in working for their acceptance in the community of higher education. Part I summarizes AAUP policies concerning the role of the faculty in budgeting in general. These policies have a practical significance that should not be overlooked: the maintenance of sound academic practices in good times contributes to sound decision making in bad times. Part II summarizes policies that the AAUP believes should come into play when an institution must deal with a financial crisis. </w:t>
      </w:r>
    </w:p>
    <w:p w:rsidR="009B315F" w:rsidRPr="009B315F" w:rsidRDefault="009B315F" w:rsidP="009B315F">
      <w:pPr>
        <w:spacing w:before="100" w:beforeAutospacing="1" w:after="100" w:afterAutospacing="1" w:line="240" w:lineRule="auto"/>
        <w:rPr>
          <w:rFonts w:ascii="Times New Roman" w:eastAsia="Times New Roman" w:hAnsi="Times New Roman" w:cs="Times New Roman"/>
          <w:sz w:val="24"/>
          <w:szCs w:val="24"/>
        </w:rPr>
      </w:pPr>
      <w:r w:rsidRPr="009B315F">
        <w:rPr>
          <w:rFonts w:ascii="Times New Roman" w:eastAsia="Times New Roman" w:hAnsi="Times New Roman" w:cs="Times New Roman"/>
          <w:sz w:val="24"/>
          <w:szCs w:val="24"/>
        </w:rPr>
        <w:t xml:space="preserve">Part III draws on the published reports of AAUP investigating committees and describes how the decision-making apparatus at some institutions showed signs of failure in times of financial difficulty. The AAUP is most likely to become involved in these matters when faculty members </w:t>
      </w:r>
      <w:r w:rsidRPr="009B315F">
        <w:rPr>
          <w:rFonts w:ascii="Times New Roman" w:eastAsia="Times New Roman" w:hAnsi="Times New Roman" w:cs="Times New Roman"/>
          <w:sz w:val="24"/>
          <w:szCs w:val="24"/>
        </w:rPr>
        <w:lastRenderedPageBreak/>
        <w:t>face termination of service—or, in fact, are released—because the administration believes this step is needed to help relieve the institution’s financial burdens. Often, an aggravating circumstance in these layoff cases is either inadequate faculty involvement or no faculty involvement at all in decisions concerning an institution’s financial problems. The AAUP’s published case reports also discuss similar abuses of academic governance in which administrations, in addition to terminating faculty appointments, eliminate academic programs, create new ones, or insist upon other academic restructuring to alleviate financial stress or to generate new sources of income.</w:t>
      </w:r>
    </w:p>
    <w:p w:rsidR="009B315F" w:rsidRPr="009B315F" w:rsidRDefault="009B315F" w:rsidP="009B315F">
      <w:pPr>
        <w:spacing w:before="100" w:beforeAutospacing="1" w:after="100" w:afterAutospacing="1" w:line="240" w:lineRule="auto"/>
        <w:rPr>
          <w:rFonts w:ascii="Times New Roman" w:eastAsia="Times New Roman" w:hAnsi="Times New Roman" w:cs="Times New Roman"/>
          <w:sz w:val="24"/>
          <w:szCs w:val="24"/>
        </w:rPr>
      </w:pPr>
      <w:r w:rsidRPr="009B315F">
        <w:rPr>
          <w:rFonts w:ascii="Times New Roman" w:eastAsia="Times New Roman" w:hAnsi="Times New Roman" w:cs="Times New Roman"/>
          <w:sz w:val="24"/>
          <w:szCs w:val="24"/>
        </w:rPr>
        <w:t>Part III continues with a recent example of effective collaboration among faculty, administrators, and governing board members to resolve an institution’s financial problems. It concludes with examples of instances in which institutional reorganizations resulted in procedurally flawed administrative actions to terminate faculty appointments.</w:t>
      </w:r>
    </w:p>
    <w:p w:rsidR="009B315F" w:rsidRPr="009B315F" w:rsidRDefault="009B315F" w:rsidP="009B315F">
      <w:pPr>
        <w:spacing w:before="100" w:beforeAutospacing="1" w:after="100" w:afterAutospacing="1" w:line="240" w:lineRule="auto"/>
        <w:rPr>
          <w:rFonts w:ascii="Times New Roman" w:eastAsia="Times New Roman" w:hAnsi="Times New Roman" w:cs="Times New Roman"/>
          <w:sz w:val="24"/>
          <w:szCs w:val="24"/>
        </w:rPr>
      </w:pPr>
      <w:r w:rsidRPr="009B315F">
        <w:rPr>
          <w:rFonts w:ascii="Times New Roman" w:eastAsia="Times New Roman" w:hAnsi="Times New Roman" w:cs="Times New Roman"/>
          <w:sz w:val="24"/>
          <w:szCs w:val="24"/>
        </w:rPr>
        <w:t>Part IV proposes recommendations to help improve an institution’s ability to deal effectively and fairly with serious financial problems, and suggests specific steps to increase income and reduce expenses.</w:t>
      </w:r>
    </w:p>
    <w:p w:rsidR="009B315F" w:rsidRPr="009B315F" w:rsidRDefault="009B315F" w:rsidP="009B315F">
      <w:pPr>
        <w:spacing w:before="100" w:beforeAutospacing="1" w:after="100" w:afterAutospacing="1" w:line="240" w:lineRule="auto"/>
        <w:outlineLvl w:val="1"/>
        <w:rPr>
          <w:rFonts w:ascii="Times New Roman" w:eastAsia="Times New Roman" w:hAnsi="Times New Roman" w:cs="Times New Roman"/>
          <w:b/>
          <w:bCs/>
          <w:sz w:val="36"/>
          <w:szCs w:val="36"/>
        </w:rPr>
      </w:pPr>
      <w:r w:rsidRPr="009B315F">
        <w:rPr>
          <w:rFonts w:ascii="Times New Roman" w:eastAsia="Times New Roman" w:hAnsi="Times New Roman" w:cs="Times New Roman"/>
          <w:b/>
          <w:bCs/>
          <w:sz w:val="36"/>
          <w:szCs w:val="36"/>
        </w:rPr>
        <w:t>I. Faculty Role in Budgeting</w:t>
      </w:r>
    </w:p>
    <w:p w:rsidR="009B315F" w:rsidRPr="009B315F" w:rsidRDefault="009B315F" w:rsidP="009B315F">
      <w:pPr>
        <w:spacing w:before="100" w:beforeAutospacing="1" w:after="100" w:afterAutospacing="1" w:line="240" w:lineRule="auto"/>
        <w:rPr>
          <w:rFonts w:ascii="Times New Roman" w:eastAsia="Times New Roman" w:hAnsi="Times New Roman" w:cs="Times New Roman"/>
          <w:sz w:val="24"/>
          <w:szCs w:val="24"/>
        </w:rPr>
      </w:pPr>
      <w:r w:rsidRPr="009B315F">
        <w:rPr>
          <w:rFonts w:ascii="Times New Roman" w:eastAsia="Times New Roman" w:hAnsi="Times New Roman" w:cs="Times New Roman"/>
          <w:sz w:val="24"/>
          <w:szCs w:val="24"/>
        </w:rPr>
        <w:t>A college or university budget is all of the following: a mechanism for setting institutional priorities; a plan of action for the institution; a summary of commitments made by those who have participated in the budgeting process; a mechanism for communicating to all members of the campus community the institution’s objectives and the means to meet those objectives; and the outcome of negotiations over what activities should be funded and at what levels.</w:t>
      </w:r>
      <w:hyperlink r:id="rId5" w:anchor="1" w:history="1">
        <w:r w:rsidRPr="009B315F">
          <w:rPr>
            <w:rFonts w:ascii="Times New Roman" w:eastAsia="Times New Roman" w:hAnsi="Times New Roman" w:cs="Times New Roman"/>
            <w:color w:val="0000FF"/>
            <w:sz w:val="24"/>
            <w:szCs w:val="24"/>
            <w:u w:val="single"/>
          </w:rPr>
          <w:t>1</w:t>
        </w:r>
      </w:hyperlink>
      <w:r w:rsidRPr="009B315F">
        <w:rPr>
          <w:rFonts w:ascii="Times New Roman" w:eastAsia="Times New Roman" w:hAnsi="Times New Roman" w:cs="Times New Roman"/>
          <w:sz w:val="24"/>
          <w:szCs w:val="24"/>
        </w:rPr>
        <w:t xml:space="preserve"> </w:t>
      </w:r>
      <w:bookmarkStart w:id="0" w:name="b1"/>
      <w:bookmarkEnd w:id="0"/>
      <w:r w:rsidRPr="009B315F">
        <w:rPr>
          <w:rFonts w:ascii="Times New Roman" w:eastAsia="Times New Roman" w:hAnsi="Times New Roman" w:cs="Times New Roman"/>
          <w:sz w:val="24"/>
          <w:szCs w:val="24"/>
        </w:rPr>
        <w:t>The allocation of financial resources among competing demands is plainly a complex and crucial task for any college or university. The AAUP has long held that the governing board, the president, and the faculty should participate in financial decisions according to their particular expertise and responsibilities. Specifically:</w:t>
      </w:r>
    </w:p>
    <w:p w:rsidR="009B315F" w:rsidRPr="009B315F" w:rsidRDefault="009B315F" w:rsidP="009B315F">
      <w:pPr>
        <w:spacing w:beforeAutospacing="1" w:after="100" w:afterAutospacing="1" w:line="240" w:lineRule="auto"/>
        <w:rPr>
          <w:rFonts w:ascii="Times New Roman" w:eastAsia="Times New Roman" w:hAnsi="Times New Roman" w:cs="Times New Roman"/>
          <w:sz w:val="24"/>
          <w:szCs w:val="24"/>
        </w:rPr>
      </w:pPr>
      <w:r w:rsidRPr="009B315F">
        <w:rPr>
          <w:rFonts w:ascii="Times New Roman" w:eastAsia="Times New Roman" w:hAnsi="Times New Roman" w:cs="Times New Roman"/>
          <w:sz w:val="24"/>
          <w:szCs w:val="24"/>
        </w:rPr>
        <w:t>The governing board is expected to husband the endowment and obtain capital and operating funds; the president is expected to maintain existing institutional resources and create new ones; the faculty is expected to establish faculty salary policies, and, in its primary responsibility for the educational function of the institution, to participate also in broader budgetary matters primarily as they impinge on that function.</w:t>
      </w:r>
      <w:hyperlink r:id="rId6" w:anchor="2" w:history="1">
        <w:r w:rsidRPr="009B315F">
          <w:rPr>
            <w:rFonts w:ascii="Times New Roman" w:eastAsia="Times New Roman" w:hAnsi="Times New Roman" w:cs="Times New Roman"/>
            <w:color w:val="0000FF"/>
            <w:sz w:val="24"/>
            <w:szCs w:val="24"/>
            <w:u w:val="single"/>
          </w:rPr>
          <w:t>2</w:t>
        </w:r>
      </w:hyperlink>
      <w:r w:rsidRPr="009B315F">
        <w:rPr>
          <w:rFonts w:ascii="Times New Roman" w:eastAsia="Times New Roman" w:hAnsi="Times New Roman" w:cs="Times New Roman"/>
          <w:sz w:val="24"/>
          <w:szCs w:val="24"/>
        </w:rPr>
        <w:t> </w:t>
      </w:r>
      <w:bookmarkStart w:id="1" w:name="b2"/>
      <w:bookmarkEnd w:id="1"/>
    </w:p>
    <w:p w:rsidR="009B315F" w:rsidRPr="009B315F" w:rsidRDefault="009B315F" w:rsidP="009B315F">
      <w:pPr>
        <w:spacing w:before="100" w:beforeAutospacing="1" w:after="100" w:afterAutospacing="1" w:line="240" w:lineRule="auto"/>
        <w:rPr>
          <w:rFonts w:ascii="Times New Roman" w:eastAsia="Times New Roman" w:hAnsi="Times New Roman" w:cs="Times New Roman"/>
          <w:sz w:val="24"/>
          <w:szCs w:val="24"/>
        </w:rPr>
      </w:pPr>
      <w:r w:rsidRPr="009B315F">
        <w:rPr>
          <w:rFonts w:ascii="Times New Roman" w:eastAsia="Times New Roman" w:hAnsi="Times New Roman" w:cs="Times New Roman"/>
          <w:sz w:val="24"/>
          <w:szCs w:val="24"/>
        </w:rPr>
        <w:t>The faculty’s role in budgetary decisions should therefore be well established before a financial storm engulfs the institution. Such a role is, in any case, consistent with, and helps advance, the principle of shared authority in institutions of higher education. In addition, the faculty are also more likely to support budgetary decisions when they have participated meaningfully in reaching those decisions, including decisions that may prevent bad financial problems from becoming worse. Moreover, an institution’s administration and board of trustees are more likely to give serious attention to faculty views during a financial crisis if they have worked productively with the faculty on budgetary matters in better times.</w:t>
      </w:r>
    </w:p>
    <w:p w:rsidR="009B315F" w:rsidRPr="009B315F" w:rsidRDefault="009B315F" w:rsidP="009B315F">
      <w:pPr>
        <w:spacing w:before="100" w:beforeAutospacing="1" w:after="100" w:afterAutospacing="1" w:line="240" w:lineRule="auto"/>
        <w:rPr>
          <w:rFonts w:ascii="Times New Roman" w:eastAsia="Times New Roman" w:hAnsi="Times New Roman" w:cs="Times New Roman"/>
          <w:sz w:val="24"/>
          <w:szCs w:val="24"/>
        </w:rPr>
      </w:pPr>
      <w:r w:rsidRPr="009B315F">
        <w:rPr>
          <w:rFonts w:ascii="Times New Roman" w:eastAsia="Times New Roman" w:hAnsi="Times New Roman" w:cs="Times New Roman"/>
          <w:sz w:val="24"/>
          <w:szCs w:val="24"/>
        </w:rPr>
        <w:lastRenderedPageBreak/>
        <w:t>At the same time, the faculty must be sensitive to concerns about the confidentiality of financial information. An administration contending with serious financial problems is likely to resist the wide circulation of budget figures. If bad news is lurking in the numbers, the institution’s situation might get worse if information becomes widely known and affects enrollment decisions and alumni giving. An administration might therefore conclude that sharing financial information with faculty who are on a budget committee is reasonable, but that circulating it to the faculty as a whole is fraught with risk. Effective collaboration among the faculty, administration, and governing board during a financial crisis requires that the collaborators be able to draw on a reservoir of mutual trust that has been built up in better days.</w:t>
      </w:r>
    </w:p>
    <w:p w:rsidR="009B315F" w:rsidRPr="009B315F" w:rsidRDefault="009B315F" w:rsidP="009B315F">
      <w:pPr>
        <w:spacing w:before="100" w:beforeAutospacing="1" w:after="100" w:afterAutospacing="1" w:line="240" w:lineRule="auto"/>
        <w:rPr>
          <w:rFonts w:ascii="Times New Roman" w:eastAsia="Times New Roman" w:hAnsi="Times New Roman" w:cs="Times New Roman"/>
          <w:sz w:val="24"/>
          <w:szCs w:val="24"/>
        </w:rPr>
      </w:pPr>
      <w:r w:rsidRPr="009B315F">
        <w:rPr>
          <w:rFonts w:ascii="Times New Roman" w:eastAsia="Times New Roman" w:hAnsi="Times New Roman" w:cs="Times New Roman"/>
          <w:sz w:val="24"/>
          <w:szCs w:val="24"/>
        </w:rPr>
        <w:t>Building a tradition of collaborative decision making takes time and continuous effort. Faculty, administrators, and trustees need to advance their points of view vigorously, but they must also be willing to accept compromise in the pursuit of common goals. That is no doubt easier said than done, but the end result—effective mechanisms for setting institutional budget priorities—yields immeasurable benefits for an academic institution, not the least of which are decisions seen as fair by all concerned.</w:t>
      </w:r>
    </w:p>
    <w:p w:rsidR="009B315F" w:rsidRPr="009B315F" w:rsidRDefault="009B315F" w:rsidP="009B315F">
      <w:pPr>
        <w:spacing w:before="100" w:beforeAutospacing="1" w:after="100" w:afterAutospacing="1" w:line="240" w:lineRule="auto"/>
        <w:rPr>
          <w:rFonts w:ascii="Times New Roman" w:eastAsia="Times New Roman" w:hAnsi="Times New Roman" w:cs="Times New Roman"/>
          <w:sz w:val="24"/>
          <w:szCs w:val="24"/>
        </w:rPr>
      </w:pPr>
      <w:r w:rsidRPr="009B315F">
        <w:rPr>
          <w:rFonts w:ascii="Times New Roman" w:eastAsia="Times New Roman" w:hAnsi="Times New Roman" w:cs="Times New Roman"/>
          <w:sz w:val="24"/>
          <w:szCs w:val="24"/>
        </w:rPr>
        <w:t xml:space="preserve">The AAUP’s 1972 statement </w:t>
      </w:r>
      <w:r w:rsidRPr="009B315F">
        <w:rPr>
          <w:rFonts w:ascii="Times New Roman" w:eastAsia="Times New Roman" w:hAnsi="Times New Roman" w:cs="Times New Roman"/>
          <w:i/>
          <w:iCs/>
          <w:sz w:val="24"/>
          <w:szCs w:val="24"/>
        </w:rPr>
        <w:t>The Role of the Faculty in Budgetary and Salary Matters</w:t>
      </w:r>
      <w:r w:rsidRPr="009B315F">
        <w:rPr>
          <w:rFonts w:ascii="Times New Roman" w:eastAsia="Times New Roman" w:hAnsi="Times New Roman" w:cs="Times New Roman"/>
          <w:sz w:val="24"/>
          <w:szCs w:val="24"/>
        </w:rPr>
        <w:t xml:space="preserve"> draws on the principle of shared authority set forth in the 1966 </w:t>
      </w:r>
      <w:hyperlink r:id="rId7" w:history="1">
        <w:r w:rsidRPr="009B315F">
          <w:rPr>
            <w:rFonts w:ascii="Times New Roman" w:eastAsia="Times New Roman" w:hAnsi="Times New Roman" w:cs="Times New Roman"/>
            <w:i/>
            <w:iCs/>
            <w:color w:val="0000FF"/>
            <w:sz w:val="24"/>
            <w:szCs w:val="24"/>
            <w:u w:val="single"/>
          </w:rPr>
          <w:t>Statement on Government of Colleges and Universities</w:t>
        </w:r>
        <w:r w:rsidRPr="009B315F">
          <w:rPr>
            <w:rFonts w:ascii="Times New Roman" w:eastAsia="Times New Roman" w:hAnsi="Times New Roman" w:cs="Times New Roman"/>
            <w:color w:val="0000FF"/>
            <w:sz w:val="24"/>
            <w:szCs w:val="24"/>
            <w:u w:val="single"/>
          </w:rPr>
          <w:t xml:space="preserve"> </w:t>
        </w:r>
      </w:hyperlink>
      <w:r w:rsidRPr="009B315F">
        <w:rPr>
          <w:rFonts w:ascii="Times New Roman" w:eastAsia="Times New Roman" w:hAnsi="Times New Roman" w:cs="Times New Roman"/>
          <w:sz w:val="24"/>
          <w:szCs w:val="24"/>
        </w:rPr>
        <w:t>to identify the procedures for faculty participation in budgetary decisions.</w:t>
      </w:r>
      <w:hyperlink r:id="rId8" w:anchor="3" w:history="1">
        <w:r w:rsidRPr="009B315F">
          <w:rPr>
            <w:rFonts w:ascii="Times New Roman" w:eastAsia="Times New Roman" w:hAnsi="Times New Roman" w:cs="Times New Roman"/>
            <w:color w:val="0000FF"/>
            <w:sz w:val="24"/>
            <w:szCs w:val="24"/>
            <w:u w:val="single"/>
          </w:rPr>
          <w:t xml:space="preserve">3 </w:t>
        </w:r>
      </w:hyperlink>
      <w:bookmarkStart w:id="2" w:name="b3"/>
      <w:bookmarkEnd w:id="2"/>
      <w:r w:rsidRPr="009B315F">
        <w:rPr>
          <w:rFonts w:ascii="Times New Roman" w:eastAsia="Times New Roman" w:hAnsi="Times New Roman" w:cs="Times New Roman"/>
          <w:sz w:val="24"/>
          <w:szCs w:val="24"/>
        </w:rPr>
        <w:t>The faculty should participate both in the preparation of the total institutional budget and . . . in decisions relevant to the further apportioning of its specific fiscal divisions.” How should the faculty participate in these tasks? Through an institutional-level body that represents the entire faculty. Certain kinds of budgetary decisions—for example, those dealing with curriculum, faculty status, or department equipment—require decentralized decision making (in, say, departments, divisions, schools, or colleges). But in matters of concern to the entire university, such as desirable funding levels for the next fiscal period, recommendations should be made by an institution-wide faculty body in concert, of course, with the administration and governing board.</w:t>
      </w:r>
    </w:p>
    <w:p w:rsidR="009B315F" w:rsidRPr="009B315F" w:rsidRDefault="009B315F" w:rsidP="009B315F">
      <w:pPr>
        <w:spacing w:before="100" w:beforeAutospacing="1" w:after="100" w:afterAutospacing="1" w:line="240" w:lineRule="auto"/>
        <w:rPr>
          <w:rFonts w:ascii="Times New Roman" w:eastAsia="Times New Roman" w:hAnsi="Times New Roman" w:cs="Times New Roman"/>
          <w:sz w:val="24"/>
          <w:szCs w:val="24"/>
        </w:rPr>
      </w:pPr>
      <w:r w:rsidRPr="009B315F">
        <w:rPr>
          <w:rFonts w:ascii="Times New Roman" w:eastAsia="Times New Roman" w:hAnsi="Times New Roman" w:cs="Times New Roman"/>
          <w:sz w:val="24"/>
          <w:szCs w:val="24"/>
        </w:rPr>
        <w:t>For the faculty to have a meaningful role in budgetary decisions it must have “access to all information that it requires to perform its tasks effectively,” and the “opportunity to confer periodically with representatives of the administration and governing board.” Without the former, the faculty’s voice will have no credibility; without the latter its voice will not be heard. What is true of faculty participation in budgetary decisions when the institution’s finances are in reasonably good shape is more compellingly true when the institution must deal with significant financial difficulties, especially when the possibility exists that faculty appointments may need to be terminated.</w:t>
      </w:r>
    </w:p>
    <w:p w:rsidR="009B315F" w:rsidRPr="009B315F" w:rsidRDefault="009B315F" w:rsidP="009B315F">
      <w:pPr>
        <w:spacing w:before="100" w:beforeAutospacing="1" w:after="100" w:afterAutospacing="1" w:line="240" w:lineRule="auto"/>
        <w:outlineLvl w:val="1"/>
        <w:rPr>
          <w:rFonts w:ascii="Times New Roman" w:eastAsia="Times New Roman" w:hAnsi="Times New Roman" w:cs="Times New Roman"/>
          <w:b/>
          <w:bCs/>
          <w:sz w:val="36"/>
          <w:szCs w:val="36"/>
        </w:rPr>
      </w:pPr>
      <w:r w:rsidRPr="009B315F">
        <w:rPr>
          <w:rFonts w:ascii="Times New Roman" w:eastAsia="Times New Roman" w:hAnsi="Times New Roman" w:cs="Times New Roman"/>
          <w:b/>
          <w:bCs/>
          <w:sz w:val="36"/>
          <w:szCs w:val="36"/>
        </w:rPr>
        <w:t>II. Termination of Faculty Appointments</w:t>
      </w:r>
    </w:p>
    <w:p w:rsidR="009B315F" w:rsidRPr="009B315F" w:rsidRDefault="009B315F" w:rsidP="009B315F">
      <w:pPr>
        <w:spacing w:before="100" w:beforeAutospacing="1" w:after="100" w:afterAutospacing="1" w:line="240" w:lineRule="auto"/>
        <w:rPr>
          <w:rFonts w:ascii="Times New Roman" w:eastAsia="Times New Roman" w:hAnsi="Times New Roman" w:cs="Times New Roman"/>
          <w:sz w:val="24"/>
          <w:szCs w:val="24"/>
        </w:rPr>
      </w:pPr>
      <w:r w:rsidRPr="009B315F">
        <w:rPr>
          <w:rFonts w:ascii="Times New Roman" w:eastAsia="Times New Roman" w:hAnsi="Times New Roman" w:cs="Times New Roman"/>
          <w:sz w:val="24"/>
          <w:szCs w:val="24"/>
        </w:rPr>
        <w:t>Early in its history, the AAUP recognized that a college or university could legitimately terminate faculty appointments, including appointments with tenure, on grounds of financial exigency. In 1925, the AAUP joined in formulating the “American Council on Education Conference Statement on Academic Freedom and Tenure,” which provided that</w:t>
      </w:r>
    </w:p>
    <w:p w:rsidR="009B315F" w:rsidRPr="009B315F" w:rsidRDefault="009B315F" w:rsidP="009B315F">
      <w:pPr>
        <w:spacing w:beforeAutospacing="1" w:after="100" w:afterAutospacing="1" w:line="240" w:lineRule="auto"/>
        <w:rPr>
          <w:rFonts w:ascii="Times New Roman" w:eastAsia="Times New Roman" w:hAnsi="Times New Roman" w:cs="Times New Roman"/>
          <w:sz w:val="24"/>
          <w:szCs w:val="24"/>
        </w:rPr>
      </w:pPr>
      <w:r w:rsidRPr="009B315F">
        <w:rPr>
          <w:rFonts w:ascii="Times New Roman" w:eastAsia="Times New Roman" w:hAnsi="Times New Roman" w:cs="Times New Roman"/>
          <w:sz w:val="24"/>
          <w:szCs w:val="24"/>
        </w:rPr>
        <w:lastRenderedPageBreak/>
        <w:t>Termination of permanent or long-term appointments because of financial exigency should be sought only as a last resort, after every effort has been made to meet the need in other ways and to find for the teacher other employment in the institution. Situations which make retrenchment of this sort necessary should preclude expansions of the staff at other points at the same time, except in extraordinary circumstances.</w:t>
      </w:r>
      <w:hyperlink r:id="rId9" w:anchor="4" w:history="1">
        <w:r w:rsidRPr="009B315F">
          <w:rPr>
            <w:rFonts w:ascii="Times New Roman" w:eastAsia="Times New Roman" w:hAnsi="Times New Roman" w:cs="Times New Roman"/>
            <w:color w:val="0000FF"/>
            <w:sz w:val="24"/>
            <w:szCs w:val="24"/>
            <w:u w:val="single"/>
          </w:rPr>
          <w:t>4</w:t>
        </w:r>
      </w:hyperlink>
      <w:bookmarkStart w:id="3" w:name="b4"/>
      <w:bookmarkEnd w:id="3"/>
    </w:p>
    <w:p w:rsidR="009B315F" w:rsidRPr="009B315F" w:rsidRDefault="009B315F" w:rsidP="009B315F">
      <w:pPr>
        <w:spacing w:before="100" w:beforeAutospacing="1" w:after="100" w:afterAutospacing="1" w:line="240" w:lineRule="auto"/>
        <w:rPr>
          <w:rFonts w:ascii="Times New Roman" w:eastAsia="Times New Roman" w:hAnsi="Times New Roman" w:cs="Times New Roman"/>
          <w:sz w:val="24"/>
          <w:szCs w:val="24"/>
        </w:rPr>
      </w:pPr>
      <w:r w:rsidRPr="009B315F">
        <w:rPr>
          <w:rFonts w:ascii="Times New Roman" w:eastAsia="Times New Roman" w:hAnsi="Times New Roman" w:cs="Times New Roman"/>
          <w:sz w:val="24"/>
          <w:szCs w:val="24"/>
        </w:rPr>
        <w:t xml:space="preserve">The landmark 1940 </w:t>
      </w:r>
      <w:hyperlink r:id="rId10" w:history="1">
        <w:r w:rsidRPr="009B315F">
          <w:rPr>
            <w:rFonts w:ascii="Times New Roman" w:eastAsia="Times New Roman" w:hAnsi="Times New Roman" w:cs="Times New Roman"/>
            <w:i/>
            <w:iCs/>
            <w:sz w:val="24"/>
            <w:szCs w:val="24"/>
          </w:rPr>
          <w:t>Statement of Principles on Academic Freedom and Tenure</w:t>
        </w:r>
      </w:hyperlink>
      <w:r w:rsidRPr="009B315F">
        <w:rPr>
          <w:rFonts w:ascii="Times New Roman" w:eastAsia="Times New Roman" w:hAnsi="Times New Roman" w:cs="Times New Roman"/>
          <w:sz w:val="24"/>
          <w:szCs w:val="24"/>
        </w:rPr>
        <w:t xml:space="preserve">, issued jointly by the AAUP and the Association of American Colleges (now the Association of American Colleges and Universities), was briefer than the 1925 statement on the subject of financial exigency but more emphatic: “Termination of a continuous appointment because of financial exigency should be demonstrably bona fide.” In addition, the </w:t>
      </w:r>
      <w:r w:rsidRPr="009B315F">
        <w:rPr>
          <w:rFonts w:ascii="Times New Roman" w:eastAsia="Times New Roman" w:hAnsi="Times New Roman" w:cs="Times New Roman"/>
          <w:i/>
          <w:iCs/>
          <w:sz w:val="24"/>
          <w:szCs w:val="24"/>
        </w:rPr>
        <w:t>Statement on Government of Colleges and Universities</w:t>
      </w:r>
      <w:r w:rsidRPr="009B315F">
        <w:rPr>
          <w:rFonts w:ascii="Times New Roman" w:eastAsia="Times New Roman" w:hAnsi="Times New Roman" w:cs="Times New Roman"/>
          <w:sz w:val="24"/>
          <w:szCs w:val="24"/>
        </w:rPr>
        <w:t xml:space="preserve"> calls for faculty to have primary responsibility for decisions affecting academic programs and faculty status. From these two statements, the AAUP derived the provisions on financial exigency in its </w:t>
      </w:r>
      <w:hyperlink r:id="rId11" w:history="1">
        <w:r w:rsidRPr="009B315F">
          <w:rPr>
            <w:rFonts w:ascii="Times New Roman" w:eastAsia="Times New Roman" w:hAnsi="Times New Roman" w:cs="Times New Roman"/>
            <w:i/>
            <w:iCs/>
            <w:sz w:val="24"/>
            <w:szCs w:val="24"/>
          </w:rPr>
          <w:t>Recommended Institutional Regulations on Academic Freedom and Tenure</w:t>
        </w:r>
      </w:hyperlink>
      <w:r w:rsidRPr="009B315F">
        <w:rPr>
          <w:rFonts w:ascii="Times New Roman" w:eastAsia="Times New Roman" w:hAnsi="Times New Roman" w:cs="Times New Roman"/>
          <w:sz w:val="24"/>
          <w:szCs w:val="24"/>
        </w:rPr>
        <w:t xml:space="preserve"> (RIR). The Association’s most complete official statement of the standards and procedures that it believes should govern the termination of faculty appointments for financial reasons appears in regulation 4(c) of the RIR.</w:t>
      </w:r>
    </w:p>
    <w:p w:rsidR="009B315F" w:rsidRPr="009B315F" w:rsidRDefault="009B315F" w:rsidP="009B315F">
      <w:pPr>
        <w:spacing w:before="100" w:beforeAutospacing="1" w:after="100" w:afterAutospacing="1" w:line="240" w:lineRule="auto"/>
        <w:rPr>
          <w:rFonts w:ascii="Times New Roman" w:eastAsia="Times New Roman" w:hAnsi="Times New Roman" w:cs="Times New Roman"/>
          <w:sz w:val="24"/>
          <w:szCs w:val="24"/>
        </w:rPr>
      </w:pPr>
      <w:r w:rsidRPr="009B315F">
        <w:rPr>
          <w:rFonts w:ascii="Times New Roman" w:eastAsia="Times New Roman" w:hAnsi="Times New Roman" w:cs="Times New Roman"/>
          <w:sz w:val="24"/>
          <w:szCs w:val="24"/>
        </w:rPr>
        <w:t>Regulation 4(c) starts with a definition of financial exigency: it is an “imminent financial crisis which threatens the survival of the institution as a whole.”</w:t>
      </w:r>
      <w:hyperlink r:id="rId12" w:anchor="5" w:history="1">
        <w:r w:rsidRPr="009B315F">
          <w:rPr>
            <w:rFonts w:ascii="Times New Roman" w:eastAsia="Times New Roman" w:hAnsi="Times New Roman" w:cs="Times New Roman"/>
            <w:color w:val="0000FF"/>
            <w:sz w:val="24"/>
            <w:szCs w:val="24"/>
            <w:u w:val="single"/>
            <w:vertAlign w:val="superscript"/>
          </w:rPr>
          <w:t>5</w:t>
        </w:r>
      </w:hyperlink>
      <w:bookmarkStart w:id="4" w:name="b5"/>
      <w:bookmarkEnd w:id="4"/>
      <w:r w:rsidRPr="009B315F">
        <w:rPr>
          <w:rFonts w:ascii="Times New Roman" w:eastAsia="Times New Roman" w:hAnsi="Times New Roman" w:cs="Times New Roman"/>
          <w:sz w:val="24"/>
          <w:szCs w:val="24"/>
        </w:rPr>
        <w:t xml:space="preserve"> Worth emphasizing is that the survival of the institution in its entirety, not just a part of it, must be at stake. Moreover, the crisis must be one that “cannot be alleviated by less drastic means” than the termination of faculty appointments. The exigency must be genuine and so must the need to release tenured faculty members or other members of the faculty before the end of their specified terms.</w:t>
      </w:r>
    </w:p>
    <w:p w:rsidR="009B315F" w:rsidRPr="009B315F" w:rsidRDefault="009B315F" w:rsidP="009B315F">
      <w:pPr>
        <w:spacing w:before="100" w:beforeAutospacing="1" w:after="100" w:afterAutospacing="1" w:line="240" w:lineRule="auto"/>
        <w:rPr>
          <w:rFonts w:ascii="Times New Roman" w:eastAsia="Times New Roman" w:hAnsi="Times New Roman" w:cs="Times New Roman"/>
          <w:sz w:val="24"/>
          <w:szCs w:val="24"/>
        </w:rPr>
      </w:pPr>
      <w:r w:rsidRPr="009B315F">
        <w:rPr>
          <w:rFonts w:ascii="Times New Roman" w:eastAsia="Times New Roman" w:hAnsi="Times New Roman" w:cs="Times New Roman"/>
          <w:sz w:val="24"/>
          <w:szCs w:val="24"/>
        </w:rPr>
        <w:t>The RIR continues with a description of the ways in which the faculty and the administration should share decision-making responsibilities in dealing with the institution’s financial problems. First, a faculty body “should participate in the decision that a financial exigency exists or is imminent, and that all feasible alternatives to termination of appointments have been pursued.” It should be noted that the text does not state that the faculty has “primary responsibility” with respect to these particular decisions. The regulation implicitly acknowledges that the administration and the board of trustees have major responsibilities for identifying serious problems that may imperil the institution’s financial health, and that they, not the faculty, are primarily responsible for ensuring the continued solvency of the institution.</w:t>
      </w:r>
    </w:p>
    <w:p w:rsidR="009B315F" w:rsidRPr="009B315F" w:rsidRDefault="009B315F" w:rsidP="009B315F">
      <w:pPr>
        <w:spacing w:before="100" w:beforeAutospacing="1" w:after="100" w:afterAutospacing="1" w:line="240" w:lineRule="auto"/>
        <w:rPr>
          <w:rFonts w:ascii="Times New Roman" w:eastAsia="Times New Roman" w:hAnsi="Times New Roman" w:cs="Times New Roman"/>
          <w:sz w:val="24"/>
          <w:szCs w:val="24"/>
        </w:rPr>
      </w:pPr>
      <w:r w:rsidRPr="009B315F">
        <w:rPr>
          <w:rFonts w:ascii="Times New Roman" w:eastAsia="Times New Roman" w:hAnsi="Times New Roman" w:cs="Times New Roman"/>
          <w:sz w:val="24"/>
          <w:szCs w:val="24"/>
        </w:rPr>
        <w:t>Second, the faculty should, however, have primary responsibility for “judgments determining where within the overall academic program termination of appointments may occur,” because such judgments “involve considerations of educational policy, including affirmative action, as well as of faculty status.”</w:t>
      </w:r>
    </w:p>
    <w:p w:rsidR="009B315F" w:rsidRPr="009B315F" w:rsidRDefault="009B315F" w:rsidP="009B315F">
      <w:pPr>
        <w:spacing w:before="100" w:beforeAutospacing="1" w:after="100" w:afterAutospacing="1" w:line="240" w:lineRule="auto"/>
        <w:rPr>
          <w:rFonts w:ascii="Times New Roman" w:eastAsia="Times New Roman" w:hAnsi="Times New Roman" w:cs="Times New Roman"/>
          <w:sz w:val="24"/>
          <w:szCs w:val="24"/>
        </w:rPr>
      </w:pPr>
      <w:r w:rsidRPr="009B315F">
        <w:rPr>
          <w:rFonts w:ascii="Times New Roman" w:eastAsia="Times New Roman" w:hAnsi="Times New Roman" w:cs="Times New Roman"/>
          <w:sz w:val="24"/>
          <w:szCs w:val="24"/>
        </w:rPr>
        <w:t>Third, the faculty’s primary responsibility also extends to “determining the criteria for identifying the individuals whose appointments are to be terminated.” The RIR adds that these criteria “may appropriately include considerations of length of service.”</w:t>
      </w:r>
    </w:p>
    <w:p w:rsidR="009B315F" w:rsidRPr="009B315F" w:rsidRDefault="009B315F" w:rsidP="009B315F">
      <w:pPr>
        <w:spacing w:before="100" w:beforeAutospacing="1" w:after="100" w:afterAutospacing="1" w:line="240" w:lineRule="auto"/>
        <w:rPr>
          <w:rFonts w:ascii="Times New Roman" w:eastAsia="Times New Roman" w:hAnsi="Times New Roman" w:cs="Times New Roman"/>
          <w:sz w:val="24"/>
          <w:szCs w:val="24"/>
        </w:rPr>
      </w:pPr>
      <w:r w:rsidRPr="009B315F">
        <w:rPr>
          <w:rFonts w:ascii="Times New Roman" w:eastAsia="Times New Roman" w:hAnsi="Times New Roman" w:cs="Times New Roman"/>
          <w:sz w:val="24"/>
          <w:szCs w:val="24"/>
        </w:rPr>
        <w:lastRenderedPageBreak/>
        <w:t>Fourth, the RIR assigns to the faculty what might be called an indirect role in identifying the individuals “whose appointments are to be terminated.” The responsibility for identification is in the hands of a “person or group designated or approved by the faculty.”</w:t>
      </w:r>
    </w:p>
    <w:p w:rsidR="009B315F" w:rsidRPr="009B315F" w:rsidRDefault="009B315F" w:rsidP="009B315F">
      <w:pPr>
        <w:spacing w:before="100" w:beforeAutospacing="1" w:after="100" w:afterAutospacing="1" w:line="240" w:lineRule="auto"/>
        <w:rPr>
          <w:rFonts w:ascii="Times New Roman" w:eastAsia="Times New Roman" w:hAnsi="Times New Roman" w:cs="Times New Roman"/>
          <w:sz w:val="24"/>
          <w:szCs w:val="24"/>
        </w:rPr>
      </w:pPr>
      <w:r w:rsidRPr="009B315F">
        <w:rPr>
          <w:rFonts w:ascii="Times New Roman" w:eastAsia="Times New Roman" w:hAnsi="Times New Roman" w:cs="Times New Roman"/>
          <w:sz w:val="24"/>
          <w:szCs w:val="24"/>
        </w:rPr>
        <w:t>Regulation 4(c) then turns to the right to a “full hearing before a faculty committee” of a faculty member who has been issued notice of termination because of financial exigency. The regulation declares that the “essentials of an on-the-record adjudicative hearing will be observed.” Regulation 4(c) does not specify the “essentials,” but they include the faculty member’s right to present witnesses and evidence, to cross-examine all witnesses, and to be provided with a record of the hearing. The regulation goes on to identify the issues that may be raised in the hearing: the existence and extent of the condition of financial exigency, with the burden on the administration to prove that the exigent condition exists and that it threatens the entire institution; the validity of the educational judgments and criteria for identifying which faculty appointments will be terminated, but with the recognition that the recommendation of a faculty body concerning these matters will be considered presumptively valid; and the criteria that have been applied in the particular case.</w:t>
      </w:r>
    </w:p>
    <w:p w:rsidR="009B315F" w:rsidRPr="009B315F" w:rsidRDefault="009B315F" w:rsidP="009B315F">
      <w:pPr>
        <w:spacing w:before="100" w:beforeAutospacing="1" w:after="100" w:afterAutospacing="1" w:line="240" w:lineRule="auto"/>
        <w:rPr>
          <w:rFonts w:ascii="Times New Roman" w:eastAsia="Times New Roman" w:hAnsi="Times New Roman" w:cs="Times New Roman"/>
          <w:sz w:val="24"/>
          <w:szCs w:val="24"/>
        </w:rPr>
      </w:pPr>
      <w:r w:rsidRPr="009B315F">
        <w:rPr>
          <w:rFonts w:ascii="Times New Roman" w:eastAsia="Times New Roman" w:hAnsi="Times New Roman" w:cs="Times New Roman"/>
          <w:sz w:val="24"/>
          <w:szCs w:val="24"/>
        </w:rPr>
        <w:t>Regulation 4(c) goes on to caution that the appointments of tenured faculty members should not be terminated because of financial exigency “in favor of retaining a faculty member without tenure, except in extraordinary circumstances where a serious distortion of the academic program would otherwise result.” In addition, before a faculty appointment is terminated for financial reasons, the institution, with faculty participation, is to “make every effort to place the faculty member concerned in another suitable position within the institution.”</w:t>
      </w:r>
    </w:p>
    <w:p w:rsidR="009B315F" w:rsidRPr="009B315F" w:rsidRDefault="009B315F" w:rsidP="009B315F">
      <w:pPr>
        <w:spacing w:before="100" w:beforeAutospacing="1" w:after="100" w:afterAutospacing="1" w:line="240" w:lineRule="auto"/>
        <w:rPr>
          <w:rFonts w:ascii="Times New Roman" w:eastAsia="Times New Roman" w:hAnsi="Times New Roman" w:cs="Times New Roman"/>
          <w:sz w:val="24"/>
          <w:szCs w:val="24"/>
        </w:rPr>
      </w:pPr>
      <w:r w:rsidRPr="009B315F">
        <w:rPr>
          <w:rFonts w:ascii="Times New Roman" w:eastAsia="Times New Roman" w:hAnsi="Times New Roman" w:cs="Times New Roman"/>
          <w:sz w:val="24"/>
          <w:szCs w:val="24"/>
        </w:rPr>
        <w:t>As for the faculty member whose appointment is actually terminated, the RIR calls for at least one year of notice or severance salary for the individual who has served at least eighteen months at the institution. In addition, released professors are granted recall rights. Their places will not be filled by a replacement for a period of three years, unless the affected individuals have been offered reinstatement and a reasonable time in which to accept or decline the offer.</w:t>
      </w:r>
    </w:p>
    <w:p w:rsidR="009B315F" w:rsidRPr="009B315F" w:rsidRDefault="009B315F" w:rsidP="009B315F">
      <w:pPr>
        <w:spacing w:before="100" w:beforeAutospacing="1" w:after="100" w:afterAutospacing="1" w:line="240" w:lineRule="auto"/>
        <w:outlineLvl w:val="1"/>
        <w:rPr>
          <w:rFonts w:ascii="Times New Roman" w:eastAsia="Times New Roman" w:hAnsi="Times New Roman" w:cs="Times New Roman"/>
          <w:b/>
          <w:bCs/>
          <w:sz w:val="36"/>
          <w:szCs w:val="36"/>
        </w:rPr>
      </w:pPr>
      <w:r w:rsidRPr="009B315F">
        <w:rPr>
          <w:rFonts w:ascii="Times New Roman" w:eastAsia="Times New Roman" w:hAnsi="Times New Roman" w:cs="Times New Roman"/>
          <w:b/>
          <w:bCs/>
          <w:sz w:val="36"/>
          <w:szCs w:val="36"/>
        </w:rPr>
        <w:t>III. Selected Case Studies</w:t>
      </w:r>
    </w:p>
    <w:p w:rsidR="009B315F" w:rsidRPr="009B315F" w:rsidRDefault="009B315F" w:rsidP="009B315F">
      <w:pPr>
        <w:spacing w:before="100" w:beforeAutospacing="1" w:after="100" w:afterAutospacing="1" w:line="240" w:lineRule="auto"/>
        <w:rPr>
          <w:rFonts w:ascii="Times New Roman" w:eastAsia="Times New Roman" w:hAnsi="Times New Roman" w:cs="Times New Roman"/>
          <w:sz w:val="24"/>
          <w:szCs w:val="24"/>
        </w:rPr>
      </w:pPr>
      <w:r w:rsidRPr="009B315F">
        <w:rPr>
          <w:rFonts w:ascii="Times New Roman" w:eastAsia="Times New Roman" w:hAnsi="Times New Roman" w:cs="Times New Roman"/>
          <w:sz w:val="24"/>
          <w:szCs w:val="24"/>
        </w:rPr>
        <w:t>Colleges and universities react in different ways to serious budget shortfalls. On many campuses, the administration has worked effectively with the faculty to identify measures—such as cutting tuition and fees to increase enrollments, reducing programs in foreign countries, selling off local properties, or increasing alumni contributions—that are intended to help the institution survive and perhaps even prosper. Other institutions have reacted with what an outside observer might characterize as panic, with the administration and governing board making decisions precipitately with little or no regard for discussing proposed actions with the faculty. In these latter cases, the financial problems have been compounded by serious rifts between the faculty and administration; the resulting distrust has exacerbated the financial woes by further damaging the institution.</w:t>
      </w:r>
    </w:p>
    <w:p w:rsidR="009B315F" w:rsidRPr="009B315F" w:rsidRDefault="009B315F" w:rsidP="009B315F">
      <w:pPr>
        <w:spacing w:before="100" w:beforeAutospacing="1" w:after="100" w:afterAutospacing="1" w:line="240" w:lineRule="auto"/>
        <w:rPr>
          <w:rFonts w:ascii="Times New Roman" w:eastAsia="Times New Roman" w:hAnsi="Times New Roman" w:cs="Times New Roman"/>
          <w:sz w:val="24"/>
          <w:szCs w:val="24"/>
        </w:rPr>
      </w:pPr>
      <w:r w:rsidRPr="009B315F">
        <w:rPr>
          <w:rFonts w:ascii="Times New Roman" w:eastAsia="Times New Roman" w:hAnsi="Times New Roman" w:cs="Times New Roman"/>
          <w:sz w:val="24"/>
          <w:szCs w:val="24"/>
        </w:rPr>
        <w:t xml:space="preserve">Because such a large proportion of a college or a university’s operating expenses is linked to salaries and benefits, it is obvious why the payroll is often the first target for budget reductions. And because faculty salaries and benefits account for a significant portion of an institution’s total </w:t>
      </w:r>
      <w:r w:rsidRPr="009B315F">
        <w:rPr>
          <w:rFonts w:ascii="Times New Roman" w:eastAsia="Times New Roman" w:hAnsi="Times New Roman" w:cs="Times New Roman"/>
          <w:sz w:val="24"/>
          <w:szCs w:val="24"/>
        </w:rPr>
        <w:lastRenderedPageBreak/>
        <w:t>payroll expenses, complaints from faculty about personnel decisions, especially decisions that result in the termination of faculty appointments, are the typical spurs for the AAUP to become involved in a campus case.</w:t>
      </w:r>
    </w:p>
    <w:p w:rsidR="009B315F" w:rsidRPr="009B315F" w:rsidRDefault="009B315F" w:rsidP="009B315F">
      <w:pPr>
        <w:spacing w:before="100" w:beforeAutospacing="1" w:after="100" w:afterAutospacing="1" w:line="240" w:lineRule="auto"/>
        <w:rPr>
          <w:rFonts w:ascii="Times New Roman" w:eastAsia="Times New Roman" w:hAnsi="Times New Roman" w:cs="Times New Roman"/>
          <w:sz w:val="24"/>
          <w:szCs w:val="24"/>
        </w:rPr>
      </w:pPr>
      <w:r w:rsidRPr="009B315F">
        <w:rPr>
          <w:rFonts w:ascii="Times New Roman" w:eastAsia="Times New Roman" w:hAnsi="Times New Roman" w:cs="Times New Roman"/>
          <w:sz w:val="24"/>
          <w:szCs w:val="24"/>
        </w:rPr>
        <w:t>In its early years, the AAUP conducted a handful of investigations into cases in which serious reasons existed to doubt that an administration had considered alternatives short of terminating faculty appointments as a remedy for the institution’s financial problems.</w:t>
      </w:r>
      <w:hyperlink r:id="rId13" w:anchor="6" w:history="1">
        <w:r w:rsidRPr="009B315F">
          <w:rPr>
            <w:rFonts w:ascii="Times New Roman" w:eastAsia="Times New Roman" w:hAnsi="Times New Roman" w:cs="Times New Roman"/>
            <w:color w:val="0000FF"/>
            <w:sz w:val="24"/>
            <w:szCs w:val="24"/>
            <w:u w:val="single"/>
          </w:rPr>
          <w:t>6</w:t>
        </w:r>
      </w:hyperlink>
      <w:bookmarkStart w:id="5" w:name="b6"/>
      <w:bookmarkEnd w:id="5"/>
      <w:r w:rsidRPr="009B315F">
        <w:rPr>
          <w:rFonts w:ascii="Times New Roman" w:eastAsia="Times New Roman" w:hAnsi="Times New Roman" w:cs="Times New Roman"/>
          <w:sz w:val="24"/>
          <w:szCs w:val="24"/>
        </w:rPr>
        <w:t xml:space="preserve"> But the AAUP’s ongoing engagement with the termination of faculty appointments for financial reasons began in 1974. In the spring of that year, the Association published a report on Bloomfield College in New Jersey and began work on a revised and expanded text of the applicable provisions of the RIR (published in final form in 1976). As indicated above, the latter document has become the benchmark against which the AAUP has judged actions taken by administrations and governing boards to resolve their institutions’ financial problems.</w:t>
      </w:r>
    </w:p>
    <w:p w:rsidR="009B315F" w:rsidRPr="009B315F" w:rsidRDefault="009B315F" w:rsidP="009B315F">
      <w:pPr>
        <w:spacing w:before="100" w:beforeAutospacing="1" w:after="100" w:afterAutospacing="1" w:line="240" w:lineRule="auto"/>
        <w:rPr>
          <w:rFonts w:ascii="Times New Roman" w:eastAsia="Times New Roman" w:hAnsi="Times New Roman" w:cs="Times New Roman"/>
          <w:sz w:val="24"/>
          <w:szCs w:val="24"/>
        </w:rPr>
      </w:pPr>
      <w:r w:rsidRPr="009B315F">
        <w:rPr>
          <w:rFonts w:ascii="Times New Roman" w:eastAsia="Times New Roman" w:hAnsi="Times New Roman" w:cs="Times New Roman"/>
          <w:sz w:val="24"/>
          <w:szCs w:val="24"/>
        </w:rPr>
        <w:t>Beginning with the Bloomfield College report, the AAUP has published twenty-eight reports involving terminations of faculty appointments for financial reasons. They deal with a broad range of institutions in every region of the country and an equally broad range of departures from Association-supported standards and procedures.</w:t>
      </w:r>
      <w:hyperlink r:id="rId14" w:anchor="7" w:history="1">
        <w:r w:rsidRPr="009B315F">
          <w:rPr>
            <w:rFonts w:ascii="Times New Roman" w:eastAsia="Times New Roman" w:hAnsi="Times New Roman" w:cs="Times New Roman"/>
            <w:color w:val="0000FF"/>
            <w:sz w:val="24"/>
            <w:szCs w:val="24"/>
            <w:u w:val="single"/>
          </w:rPr>
          <w:t>7</w:t>
        </w:r>
      </w:hyperlink>
      <w:r w:rsidRPr="009B315F">
        <w:rPr>
          <w:rFonts w:ascii="Times New Roman" w:eastAsia="Times New Roman" w:hAnsi="Times New Roman" w:cs="Times New Roman"/>
          <w:sz w:val="24"/>
          <w:szCs w:val="24"/>
        </w:rPr>
        <w:t xml:space="preserve"> </w:t>
      </w:r>
      <w:bookmarkStart w:id="6" w:name="b7"/>
      <w:bookmarkEnd w:id="6"/>
      <w:r w:rsidRPr="009B315F">
        <w:rPr>
          <w:rFonts w:ascii="Times New Roman" w:eastAsia="Times New Roman" w:hAnsi="Times New Roman" w:cs="Times New Roman"/>
          <w:sz w:val="24"/>
          <w:szCs w:val="24"/>
        </w:rPr>
        <w:t>The comments that follow focus on three recurrent areas of concern: whether the financial condition of the institution necessitated the termination of faculty appointments; whether the institution’s faculty had a meaningful opportunity to participate in the decisions leading to the terminations; and whether the individual faculty members facing termination of appointment were afforded a hearing before faculty peers on disputed issues.</w:t>
      </w:r>
    </w:p>
    <w:p w:rsidR="009B315F" w:rsidRPr="009B315F" w:rsidRDefault="009B315F" w:rsidP="009B315F">
      <w:pPr>
        <w:spacing w:before="100" w:beforeAutospacing="1" w:after="100" w:afterAutospacing="1" w:line="240" w:lineRule="auto"/>
        <w:outlineLvl w:val="2"/>
        <w:rPr>
          <w:rFonts w:ascii="Times New Roman" w:eastAsia="Times New Roman" w:hAnsi="Times New Roman" w:cs="Times New Roman"/>
          <w:b/>
          <w:bCs/>
          <w:sz w:val="27"/>
          <w:szCs w:val="27"/>
        </w:rPr>
      </w:pPr>
      <w:r w:rsidRPr="009B315F">
        <w:rPr>
          <w:rFonts w:ascii="Times New Roman" w:eastAsia="Times New Roman" w:hAnsi="Times New Roman" w:cs="Times New Roman"/>
          <w:b/>
          <w:bCs/>
          <w:sz w:val="27"/>
          <w:szCs w:val="27"/>
        </w:rPr>
        <w:t>1. Institutional Financial Conditions</w:t>
      </w:r>
    </w:p>
    <w:p w:rsidR="009B315F" w:rsidRPr="009B315F" w:rsidRDefault="009B315F" w:rsidP="009B315F">
      <w:pPr>
        <w:spacing w:before="100" w:beforeAutospacing="1" w:after="100" w:afterAutospacing="1" w:line="240" w:lineRule="auto"/>
        <w:rPr>
          <w:rFonts w:ascii="Times New Roman" w:eastAsia="Times New Roman" w:hAnsi="Times New Roman" w:cs="Times New Roman"/>
          <w:sz w:val="24"/>
          <w:szCs w:val="24"/>
        </w:rPr>
      </w:pPr>
      <w:r w:rsidRPr="009B315F">
        <w:rPr>
          <w:rFonts w:ascii="Times New Roman" w:eastAsia="Times New Roman" w:hAnsi="Times New Roman" w:cs="Times New Roman"/>
          <w:sz w:val="24"/>
          <w:szCs w:val="24"/>
        </w:rPr>
        <w:t>To the question whether institutional finances have been truly exigent, the AAUP’s published reports indicate that in most cases the answer was no. In only four of the twenty-eight reports—those dealing with the City University of New York, Westminster College of Salt Lake City, Saint Bonaventure University, and the University of the District of Columbia—did the investigating committee conclude that the financial condition of the institution was indeed exigent, although in each of these cases the termination of faculty appointments was marred by significant procedural flaws. With respect to the remaining reports, the investigating committees questioned whether the institutions were confronting such severe financial problems as to necessitate the termination of faculty appointments.</w:t>
      </w:r>
    </w:p>
    <w:p w:rsidR="009B315F" w:rsidRPr="009B315F" w:rsidRDefault="009B315F" w:rsidP="009B315F">
      <w:pPr>
        <w:spacing w:before="100" w:beforeAutospacing="1" w:after="100" w:afterAutospacing="1" w:line="240" w:lineRule="auto"/>
        <w:rPr>
          <w:rFonts w:ascii="Times New Roman" w:eastAsia="Times New Roman" w:hAnsi="Times New Roman" w:cs="Times New Roman"/>
          <w:sz w:val="24"/>
          <w:szCs w:val="24"/>
        </w:rPr>
      </w:pPr>
      <w:r w:rsidRPr="009B315F">
        <w:rPr>
          <w:rFonts w:ascii="Times New Roman" w:eastAsia="Times New Roman" w:hAnsi="Times New Roman" w:cs="Times New Roman"/>
          <w:sz w:val="24"/>
          <w:szCs w:val="24"/>
        </w:rPr>
        <w:t>In the case at Eastern Oregon State College, the institution had a budget of just over $8 million and faced an initial budget shortfall of $58,000, which subsequently fell to approximately $12,000. This amount of money, the AAUP investigating committee observed, did not “approach the order of magnitude of a financial exigency as the term is generally understood.” In the Sonoma State University case, the investigating committee found that during what the administration called a financial crisis the university president allocated more than $30,000 for a new presidential assistant. In addition, two new associate deanships were created, monies were added to the budget for intercollegiate athletics, and about a dozen new faculty members were appointed. Under the circumstances, the investigating committee concluded, the university’s difficulties relating to funding and enrollment fell far short of a genuine financial exigency.</w:t>
      </w:r>
    </w:p>
    <w:p w:rsidR="009B315F" w:rsidRPr="009B315F" w:rsidRDefault="009B315F" w:rsidP="009B315F">
      <w:pPr>
        <w:spacing w:before="100" w:beforeAutospacing="1" w:after="100" w:afterAutospacing="1" w:line="240" w:lineRule="auto"/>
        <w:rPr>
          <w:rFonts w:ascii="Times New Roman" w:eastAsia="Times New Roman" w:hAnsi="Times New Roman" w:cs="Times New Roman"/>
          <w:sz w:val="24"/>
          <w:szCs w:val="24"/>
        </w:rPr>
      </w:pPr>
      <w:r w:rsidRPr="009B315F">
        <w:rPr>
          <w:rFonts w:ascii="Times New Roman" w:eastAsia="Times New Roman" w:hAnsi="Times New Roman" w:cs="Times New Roman"/>
          <w:sz w:val="24"/>
          <w:szCs w:val="24"/>
        </w:rPr>
        <w:lastRenderedPageBreak/>
        <w:t>In the Morgan State University case, the investigating committee found that although student enrollment at the university had fallen sharply, state appropriations for fiscal 1985 per full-time-equivalent student were within the range of the allocations awarded to other public universities in Maryland. The committee also found that the proportion of state appropriations that accounted for the university’s total revenues in the same fiscal year was similar to what it was at the state’s other four-year colleges and universities, none of which experienced termination of appointments on financial grounds. The committee concluded that the administration terminated tenured faculty appointments in the absence of a demonstrated financial exigency.</w:t>
      </w:r>
    </w:p>
    <w:p w:rsidR="009B315F" w:rsidRPr="009B315F" w:rsidRDefault="009B315F" w:rsidP="009B315F">
      <w:pPr>
        <w:spacing w:before="100" w:beforeAutospacing="1" w:after="100" w:afterAutospacing="1" w:line="240" w:lineRule="auto"/>
        <w:rPr>
          <w:rFonts w:ascii="Times New Roman" w:eastAsia="Times New Roman" w:hAnsi="Times New Roman" w:cs="Times New Roman"/>
          <w:sz w:val="24"/>
          <w:szCs w:val="24"/>
        </w:rPr>
      </w:pPr>
      <w:r w:rsidRPr="009B315F">
        <w:rPr>
          <w:rFonts w:ascii="Times New Roman" w:eastAsia="Times New Roman" w:hAnsi="Times New Roman" w:cs="Times New Roman"/>
          <w:sz w:val="24"/>
          <w:szCs w:val="24"/>
        </w:rPr>
        <w:t>In the North Greenville College case, the investigating committee questioned whether the institution was in a condition of financial exigency in spring 1992, when it terminated the services of a tenured faculty member. While the college had numerous financial problems, the committee reported that there were also signs of recovery, including a balanced budget, increased student enrollments, and a surplus in the college’s bank account.</w:t>
      </w:r>
    </w:p>
    <w:p w:rsidR="009B315F" w:rsidRPr="009B315F" w:rsidRDefault="009B315F" w:rsidP="009B315F">
      <w:pPr>
        <w:spacing w:before="100" w:beforeAutospacing="1" w:after="100" w:afterAutospacing="1" w:line="240" w:lineRule="auto"/>
        <w:rPr>
          <w:rFonts w:ascii="Times New Roman" w:eastAsia="Times New Roman" w:hAnsi="Times New Roman" w:cs="Times New Roman"/>
          <w:sz w:val="24"/>
          <w:szCs w:val="24"/>
        </w:rPr>
      </w:pPr>
      <w:r w:rsidRPr="009B315F">
        <w:rPr>
          <w:rFonts w:ascii="Times New Roman" w:eastAsia="Times New Roman" w:hAnsi="Times New Roman" w:cs="Times New Roman"/>
          <w:sz w:val="24"/>
          <w:szCs w:val="24"/>
        </w:rPr>
        <w:t>A similar pattern was identified in the Bennington College case. The investigating committee did not doubt that the college had dire budgetary problems, but also pointed to developments suggesting positive financial trends: plans to establish new academic programs, to add administrative positions, to purchase new administrative computing equipment, and to appoint new and replacement faculty.</w:t>
      </w:r>
    </w:p>
    <w:p w:rsidR="009B315F" w:rsidRPr="009B315F" w:rsidRDefault="009B315F" w:rsidP="009B315F">
      <w:pPr>
        <w:spacing w:before="100" w:beforeAutospacing="1" w:after="100" w:afterAutospacing="1" w:line="240" w:lineRule="auto"/>
        <w:outlineLvl w:val="2"/>
        <w:rPr>
          <w:rFonts w:ascii="Times New Roman" w:eastAsia="Times New Roman" w:hAnsi="Times New Roman" w:cs="Times New Roman"/>
          <w:b/>
          <w:bCs/>
          <w:sz w:val="27"/>
          <w:szCs w:val="27"/>
        </w:rPr>
      </w:pPr>
      <w:r w:rsidRPr="009B315F">
        <w:rPr>
          <w:rFonts w:ascii="Times New Roman" w:eastAsia="Times New Roman" w:hAnsi="Times New Roman" w:cs="Times New Roman"/>
          <w:b/>
          <w:bCs/>
          <w:sz w:val="27"/>
          <w:szCs w:val="27"/>
        </w:rPr>
        <w:t>2. Faculty Participation</w:t>
      </w:r>
    </w:p>
    <w:p w:rsidR="009B315F" w:rsidRPr="009B315F" w:rsidRDefault="009B315F" w:rsidP="009B315F">
      <w:pPr>
        <w:spacing w:before="100" w:beforeAutospacing="1" w:after="100" w:afterAutospacing="1" w:line="240" w:lineRule="auto"/>
        <w:rPr>
          <w:rFonts w:ascii="Times New Roman" w:eastAsia="Times New Roman" w:hAnsi="Times New Roman" w:cs="Times New Roman"/>
          <w:sz w:val="24"/>
          <w:szCs w:val="24"/>
        </w:rPr>
      </w:pPr>
      <w:r w:rsidRPr="009B315F">
        <w:rPr>
          <w:rFonts w:ascii="Times New Roman" w:eastAsia="Times New Roman" w:hAnsi="Times New Roman" w:cs="Times New Roman"/>
          <w:sz w:val="24"/>
          <w:szCs w:val="24"/>
        </w:rPr>
        <w:t>In nearly all of the twenty-eight cases, AAUP investigating committees found that faculty involvement in decisions leading to terminations was either inadequate or nonexistent. In the University of Idaho case, the university’s faculty council recognized that Idaho’s system of higher education was in a financially perilous condition. The investigating committee found, however, that the faculty members most directly concerned in the decisions affecting faculty status, namely, the faculty in the College of Agriculture, did not at any point participate meaningfully in the decisions that resulted in the termination of tenured appointments. At Goucher College, the administration and the board of trustees declared a state of financial exigency and determined how to cope with it. No faculty body had significant opportunity to contribute to these decisions.</w:t>
      </w:r>
    </w:p>
    <w:p w:rsidR="009B315F" w:rsidRPr="009B315F" w:rsidRDefault="009B315F" w:rsidP="009B315F">
      <w:pPr>
        <w:spacing w:before="100" w:beforeAutospacing="1" w:after="100" w:afterAutospacing="1" w:line="240" w:lineRule="auto"/>
        <w:rPr>
          <w:rFonts w:ascii="Times New Roman" w:eastAsia="Times New Roman" w:hAnsi="Times New Roman" w:cs="Times New Roman"/>
          <w:sz w:val="24"/>
          <w:szCs w:val="24"/>
        </w:rPr>
      </w:pPr>
      <w:r w:rsidRPr="009B315F">
        <w:rPr>
          <w:rFonts w:ascii="Times New Roman" w:eastAsia="Times New Roman" w:hAnsi="Times New Roman" w:cs="Times New Roman"/>
          <w:sz w:val="24"/>
          <w:szCs w:val="24"/>
        </w:rPr>
        <w:t>Many of the same issues arose at Essex Community College, where the faculty was not consulted about major decisions affecting academic programs and faculty appointments. In the Alaska Pacific case, the administration responded to a budget shortfall by proposing to eliminate all degree programs in two departments and combining the department into a single, smaller one. A “no-frills” budget was presented to a joint faculty-administration committee. No papers were distributed to the committee in advance of its meeting, note taking was prohibited during the meeting, and voluminous materials that included thirty-seven pages of tables could not be taken from the room.</w:t>
      </w:r>
    </w:p>
    <w:p w:rsidR="009B315F" w:rsidRPr="009B315F" w:rsidRDefault="009B315F" w:rsidP="009B315F">
      <w:pPr>
        <w:spacing w:before="100" w:beforeAutospacing="1" w:after="100" w:afterAutospacing="1" w:line="240" w:lineRule="auto"/>
        <w:rPr>
          <w:rFonts w:ascii="Times New Roman" w:eastAsia="Times New Roman" w:hAnsi="Times New Roman" w:cs="Times New Roman"/>
          <w:sz w:val="24"/>
          <w:szCs w:val="24"/>
        </w:rPr>
      </w:pPr>
      <w:r w:rsidRPr="009B315F">
        <w:rPr>
          <w:rFonts w:ascii="Times New Roman" w:eastAsia="Times New Roman" w:hAnsi="Times New Roman" w:cs="Times New Roman"/>
          <w:sz w:val="24"/>
          <w:szCs w:val="24"/>
        </w:rPr>
        <w:t xml:space="preserve">The reasons the faculty’s role in these cases was limited—sometimes to the vanishing point—are not the same for each institution. Yet several assumptions about the faculty were common to them: that the involvement of the faculty would have delayed decisions that needed to be made </w:t>
      </w:r>
      <w:r w:rsidRPr="009B315F">
        <w:rPr>
          <w:rFonts w:ascii="Times New Roman" w:eastAsia="Times New Roman" w:hAnsi="Times New Roman" w:cs="Times New Roman"/>
          <w:sz w:val="24"/>
          <w:szCs w:val="24"/>
        </w:rPr>
        <w:lastRenderedPageBreak/>
        <w:t>quickly; that faculty members, immersed in their academic specialties, did not have the broad perspective essential to seeing the institution as a whole; and that the faculty was essentially conservative and would thus reject anything new.</w:t>
      </w:r>
    </w:p>
    <w:p w:rsidR="009B315F" w:rsidRPr="009B315F" w:rsidRDefault="009B315F" w:rsidP="009B315F">
      <w:pPr>
        <w:spacing w:before="100" w:beforeAutospacing="1" w:after="100" w:afterAutospacing="1" w:line="240" w:lineRule="auto"/>
        <w:rPr>
          <w:rFonts w:ascii="Times New Roman" w:eastAsia="Times New Roman" w:hAnsi="Times New Roman" w:cs="Times New Roman"/>
          <w:sz w:val="24"/>
          <w:szCs w:val="24"/>
        </w:rPr>
      </w:pPr>
      <w:r w:rsidRPr="009B315F">
        <w:rPr>
          <w:rFonts w:ascii="Times New Roman" w:eastAsia="Times New Roman" w:hAnsi="Times New Roman" w:cs="Times New Roman"/>
          <w:sz w:val="24"/>
          <w:szCs w:val="24"/>
        </w:rPr>
        <w:t>These perceptions about the faculty have a long lineage and no doubt will persist in some quarters well into the future. To note their durability, however, is not to concede their general validity. It is simply not true that due deliberation by the faculty is inconsistent with reaching timely decisions concerning an institution’s financial health. Nor is it true that faculty members, focused on their teaching and research, are incapable of understanding and dealing with the larger world around them or less inclined to favor innovation than are administrations and boards of trustees. Were these perceptions accurate, the exercise of strong faculty authority would in all likelihood be unusual. But the opposite is often the case, especially at those institutions commonly viewed as among the best colleges and universities in the United States.</w:t>
      </w:r>
    </w:p>
    <w:p w:rsidR="009B315F" w:rsidRPr="009B315F" w:rsidRDefault="009B315F" w:rsidP="009B315F">
      <w:pPr>
        <w:spacing w:before="100" w:beforeAutospacing="1" w:after="100" w:afterAutospacing="1" w:line="240" w:lineRule="auto"/>
        <w:rPr>
          <w:rFonts w:ascii="Times New Roman" w:eastAsia="Times New Roman" w:hAnsi="Times New Roman" w:cs="Times New Roman"/>
          <w:sz w:val="24"/>
          <w:szCs w:val="24"/>
        </w:rPr>
      </w:pPr>
      <w:r w:rsidRPr="009B315F">
        <w:rPr>
          <w:rFonts w:ascii="Times New Roman" w:eastAsia="Times New Roman" w:hAnsi="Times New Roman" w:cs="Times New Roman"/>
          <w:sz w:val="24"/>
          <w:szCs w:val="24"/>
        </w:rPr>
        <w:t>Remarks made more than forty years ago by a leading authority on academic government are still to the point: “In the very best colleges, the faculties generally have much authority; in the very worst colleges, virtually none. That much authority becomes lodged in the hands of faculty members in the best colleges is no accident . . . , but is an intrinsic part of the [institution’s] achieving and maintaining a pre-eminent position.”</w:t>
      </w:r>
      <w:hyperlink r:id="rId15" w:anchor="8" w:history="1">
        <w:r w:rsidRPr="009B315F">
          <w:rPr>
            <w:rFonts w:ascii="Times New Roman" w:eastAsia="Times New Roman" w:hAnsi="Times New Roman" w:cs="Times New Roman"/>
            <w:color w:val="0000FF"/>
            <w:sz w:val="24"/>
            <w:szCs w:val="24"/>
            <w:u w:val="single"/>
          </w:rPr>
          <w:t>8</w:t>
        </w:r>
      </w:hyperlink>
      <w:bookmarkStart w:id="7" w:name="b8"/>
      <w:bookmarkEnd w:id="7"/>
    </w:p>
    <w:p w:rsidR="009B315F" w:rsidRPr="009B315F" w:rsidRDefault="009B315F" w:rsidP="009B315F">
      <w:pPr>
        <w:spacing w:before="100" w:beforeAutospacing="1" w:after="100" w:afterAutospacing="1" w:line="240" w:lineRule="auto"/>
        <w:rPr>
          <w:rFonts w:ascii="Times New Roman" w:eastAsia="Times New Roman" w:hAnsi="Times New Roman" w:cs="Times New Roman"/>
          <w:sz w:val="24"/>
          <w:szCs w:val="24"/>
        </w:rPr>
      </w:pPr>
      <w:r w:rsidRPr="009B315F">
        <w:rPr>
          <w:rFonts w:ascii="Times New Roman" w:eastAsia="Times New Roman" w:hAnsi="Times New Roman" w:cs="Times New Roman"/>
          <w:b/>
          <w:bCs/>
          <w:sz w:val="24"/>
          <w:szCs w:val="24"/>
        </w:rPr>
        <w:t>3. Hearing for Terminated Faculty</w:t>
      </w:r>
    </w:p>
    <w:p w:rsidR="009B315F" w:rsidRPr="009B315F" w:rsidRDefault="009B315F" w:rsidP="009B315F">
      <w:pPr>
        <w:spacing w:before="100" w:beforeAutospacing="1" w:after="100" w:afterAutospacing="1" w:line="240" w:lineRule="auto"/>
        <w:rPr>
          <w:rFonts w:ascii="Times New Roman" w:eastAsia="Times New Roman" w:hAnsi="Times New Roman" w:cs="Times New Roman"/>
          <w:sz w:val="24"/>
          <w:szCs w:val="24"/>
        </w:rPr>
      </w:pPr>
      <w:r w:rsidRPr="009B315F">
        <w:rPr>
          <w:rFonts w:ascii="Times New Roman" w:eastAsia="Times New Roman" w:hAnsi="Times New Roman" w:cs="Times New Roman"/>
          <w:sz w:val="24"/>
          <w:szCs w:val="24"/>
        </w:rPr>
        <w:t>For most of the institutions that were the subject of an AAUP investigation, the individual faculty members facing termination of appointment did not receive a hearing before faculty peers on disputed issues. Before we look at some of the published case reports, it is worth emphasizing that the RIR asserts unambiguously that faculty members, before their appointments are terminated, “will have the right to a full hearing before a faculty committee.” The termination of an appointment for financial reasons should not, unlike a dismissal for cause, present issues concerning a faculty member’s fitness to serve, and therefore does not typically implicate the individual’s professional reputation. Nevertheless, the impact of termination, even for financial reasons, on a professor’s livelihood is likely to be grave.</w:t>
      </w:r>
    </w:p>
    <w:p w:rsidR="009B315F" w:rsidRPr="009B315F" w:rsidRDefault="009B315F" w:rsidP="009B315F">
      <w:pPr>
        <w:spacing w:before="100" w:beforeAutospacing="1" w:after="100" w:afterAutospacing="1" w:line="240" w:lineRule="auto"/>
        <w:rPr>
          <w:rFonts w:ascii="Times New Roman" w:eastAsia="Times New Roman" w:hAnsi="Times New Roman" w:cs="Times New Roman"/>
          <w:sz w:val="24"/>
          <w:szCs w:val="24"/>
        </w:rPr>
      </w:pPr>
      <w:r w:rsidRPr="009B315F">
        <w:rPr>
          <w:rFonts w:ascii="Times New Roman" w:eastAsia="Times New Roman" w:hAnsi="Times New Roman" w:cs="Times New Roman"/>
          <w:sz w:val="24"/>
          <w:szCs w:val="24"/>
        </w:rPr>
        <w:t>The hearing is an opportunity for the concerned faculty member to raise issues that no one else may have raised, notably about why he or she has been singled out for release. Even when the faculty, through its designated bodies, has been significantly involved in decisions addressing the institution’s financial condition, those decisions—no matter how reasonable they may seem to faculty and administrators alike—are not immune to questions and challenge. A hearing, if fairly conducted, can protect not only the career of the individual but also an institution against a false charge that it has acted in a hasty or unprincipled manner. A hearing can also play a vital role in a financial exigency case if an academic freedom issue surfaces. As a federal court explained: “The obvious danger remains that ‘financial exigency’ can become too easy an excuse for dismissing a teacher who is merely unpopular or controversial or misunderstood—a way for the university to rid itself of an unwanted teacher but without according him his important procedural rights.”</w:t>
      </w:r>
      <w:hyperlink r:id="rId16" w:anchor="9" w:history="1">
        <w:r w:rsidRPr="009B315F">
          <w:rPr>
            <w:rFonts w:ascii="Times New Roman" w:eastAsia="Times New Roman" w:hAnsi="Times New Roman" w:cs="Times New Roman"/>
            <w:color w:val="0000FF"/>
            <w:sz w:val="24"/>
            <w:szCs w:val="24"/>
            <w:u w:val="single"/>
          </w:rPr>
          <w:t>9</w:t>
        </w:r>
      </w:hyperlink>
      <w:r w:rsidRPr="009B315F">
        <w:rPr>
          <w:rFonts w:ascii="Times New Roman" w:eastAsia="Times New Roman" w:hAnsi="Times New Roman" w:cs="Times New Roman"/>
          <w:sz w:val="24"/>
          <w:szCs w:val="24"/>
        </w:rPr>
        <w:t xml:space="preserve"> In the University of Texas of the Permian Basin case, the two faculty members facing termination of appointment could appeal only to a committee appointed by the president, who had defined the procedure for appeal without faculty involvement or knowledge. </w:t>
      </w:r>
      <w:r w:rsidRPr="009B315F">
        <w:rPr>
          <w:rFonts w:ascii="Times New Roman" w:eastAsia="Times New Roman" w:hAnsi="Times New Roman" w:cs="Times New Roman"/>
          <w:sz w:val="24"/>
          <w:szCs w:val="24"/>
        </w:rPr>
        <w:lastRenderedPageBreak/>
        <w:t>Moreover, the two professors had to carry the burden of proving why the terminations were not necessary to relieve the institution’s financial burden. At Sonoma State University, faculty members notified of layoff had the opportunity to file a grievance, and the faculty as a whole viewed the grievance procedure as generally fair. But the report of the AAUP investigating committee pointed out that the administration did not bear the burden of proof, and that the grievances could not “readily challenge” the administration’s educational judgments and their application to individual cases.</w:t>
      </w:r>
    </w:p>
    <w:p w:rsidR="009B315F" w:rsidRPr="009B315F" w:rsidRDefault="009B315F" w:rsidP="009B315F">
      <w:pPr>
        <w:spacing w:before="100" w:beforeAutospacing="1" w:after="100" w:afterAutospacing="1" w:line="240" w:lineRule="auto"/>
        <w:rPr>
          <w:rFonts w:ascii="Times New Roman" w:eastAsia="Times New Roman" w:hAnsi="Times New Roman" w:cs="Times New Roman"/>
          <w:sz w:val="24"/>
          <w:szCs w:val="24"/>
        </w:rPr>
      </w:pPr>
      <w:r w:rsidRPr="009B315F">
        <w:rPr>
          <w:rFonts w:ascii="Times New Roman" w:eastAsia="Times New Roman" w:hAnsi="Times New Roman" w:cs="Times New Roman"/>
          <w:sz w:val="24"/>
          <w:szCs w:val="24"/>
        </w:rPr>
        <w:t>The burden of proof was also shifted to the affected faculty members in the Bennington College case, an inappropriate condition that was compounded by the fact that the president appointed the faculty committee hearing the appeals. Additionally, the college administration barred the appeal committee from considering the bona fides of the financial exigency. In the Southern Nazarene University case, the dismissed professors were offered no opportunity for an appeal. At St. Bonaventure University, the opportunity for an appeal was offered, and accepted by some, but the investigating committee identified serious departures from Association-supported standards: there was not “even a pretense of an on-the-record adjudicative hearing”; the faculty members facing termination of appointment “were not permitted to challenge the existence and extent of the financial exigency”; the hearings “were limited to one hour”; the “burden of persuasion rested on the appellants”; and “presence of counsel was not allowed.”</w:t>
      </w:r>
    </w:p>
    <w:p w:rsidR="009B315F" w:rsidRPr="009B315F" w:rsidRDefault="009B315F" w:rsidP="009B315F">
      <w:pPr>
        <w:spacing w:before="100" w:beforeAutospacing="1" w:after="100" w:afterAutospacing="1" w:line="240" w:lineRule="auto"/>
        <w:outlineLvl w:val="2"/>
        <w:rPr>
          <w:rFonts w:ascii="Times New Roman" w:eastAsia="Times New Roman" w:hAnsi="Times New Roman" w:cs="Times New Roman"/>
          <w:b/>
          <w:bCs/>
          <w:sz w:val="27"/>
          <w:szCs w:val="27"/>
        </w:rPr>
      </w:pPr>
      <w:r w:rsidRPr="009B315F">
        <w:rPr>
          <w:rFonts w:ascii="Times New Roman" w:eastAsia="Times New Roman" w:hAnsi="Times New Roman" w:cs="Times New Roman"/>
          <w:b/>
          <w:bCs/>
          <w:sz w:val="27"/>
          <w:szCs w:val="27"/>
        </w:rPr>
        <w:t>4. Effective Collaboration</w:t>
      </w:r>
    </w:p>
    <w:p w:rsidR="009B315F" w:rsidRPr="009B315F" w:rsidRDefault="009B315F" w:rsidP="009B315F">
      <w:pPr>
        <w:spacing w:before="100" w:beforeAutospacing="1" w:after="100" w:afterAutospacing="1" w:line="240" w:lineRule="auto"/>
        <w:rPr>
          <w:rFonts w:ascii="Times New Roman" w:eastAsia="Times New Roman" w:hAnsi="Times New Roman" w:cs="Times New Roman"/>
          <w:sz w:val="24"/>
          <w:szCs w:val="24"/>
        </w:rPr>
      </w:pPr>
      <w:r w:rsidRPr="009B315F">
        <w:rPr>
          <w:rFonts w:ascii="Times New Roman" w:eastAsia="Times New Roman" w:hAnsi="Times New Roman" w:cs="Times New Roman"/>
          <w:sz w:val="24"/>
          <w:szCs w:val="24"/>
        </w:rPr>
        <w:t>This discussion of selected AAUP cases has focused on what might be described as the underside of the academic world: situations in which principles of tenure, academic due process, and academic governance have been sorely abused. The discussion has also indicated, albeit in a general way, that faculties, administrations, and governing boards can work well together to resolve an institution’s financial problems.</w:t>
      </w:r>
    </w:p>
    <w:p w:rsidR="009B315F" w:rsidRPr="009B315F" w:rsidRDefault="009B315F" w:rsidP="009B315F">
      <w:pPr>
        <w:spacing w:before="100" w:beforeAutospacing="1" w:after="100" w:afterAutospacing="1" w:line="240" w:lineRule="auto"/>
        <w:rPr>
          <w:rFonts w:ascii="Times New Roman" w:eastAsia="Times New Roman" w:hAnsi="Times New Roman" w:cs="Times New Roman"/>
          <w:sz w:val="24"/>
          <w:szCs w:val="24"/>
        </w:rPr>
      </w:pPr>
      <w:r w:rsidRPr="009B315F">
        <w:rPr>
          <w:rFonts w:ascii="Times New Roman" w:eastAsia="Times New Roman" w:hAnsi="Times New Roman" w:cs="Times New Roman"/>
          <w:sz w:val="24"/>
          <w:szCs w:val="24"/>
        </w:rPr>
        <w:t>A recent example of effective collaboration was the merger in 2002 of Marymount College, a Catholic women’s institution in Tarrytown, New York, with Fordham University, a comprehensive Jesuit institution in New York City. The college’s financial problems were deep and long-standing, and its prospects for independent survival were slim. Drawing on years of joint planning and effort with the faculty through its local AAUP collective bargaining representatives, college administrators met regularly with faculty leaders to provide updated information about the college’s financial condition, student enrollments, alumnae services, facilities management, and institutional computing.</w:t>
      </w:r>
    </w:p>
    <w:p w:rsidR="009B315F" w:rsidRPr="009B315F" w:rsidRDefault="009B315F" w:rsidP="009B315F">
      <w:pPr>
        <w:spacing w:before="100" w:beforeAutospacing="1" w:after="100" w:afterAutospacing="1" w:line="240" w:lineRule="auto"/>
        <w:rPr>
          <w:rFonts w:ascii="Times New Roman" w:eastAsia="Times New Roman" w:hAnsi="Times New Roman" w:cs="Times New Roman"/>
          <w:sz w:val="24"/>
          <w:szCs w:val="24"/>
        </w:rPr>
      </w:pPr>
      <w:r w:rsidRPr="009B315F">
        <w:rPr>
          <w:rFonts w:ascii="Times New Roman" w:eastAsia="Times New Roman" w:hAnsi="Times New Roman" w:cs="Times New Roman"/>
          <w:sz w:val="24"/>
          <w:szCs w:val="24"/>
        </w:rPr>
        <w:t>Initially, the administration offered no guarantee that college faculty appointments would be continued after the merger was completed. In the end, however, the memorandum of agreement approved by the Fordham University board of trustees and the Marymount College faculty, establishing Marymount College of Fordham University, recognized the tenure of the college’s continuing tenured faculty members, and provided five-year appointments for the college’s continuing nontenured faculty members.</w:t>
      </w:r>
    </w:p>
    <w:p w:rsidR="009B315F" w:rsidRPr="009B315F" w:rsidRDefault="009B315F" w:rsidP="009B315F">
      <w:pPr>
        <w:spacing w:before="100" w:beforeAutospacing="1" w:after="100" w:afterAutospacing="1" w:line="240" w:lineRule="auto"/>
        <w:rPr>
          <w:rFonts w:ascii="Times New Roman" w:eastAsia="Times New Roman" w:hAnsi="Times New Roman" w:cs="Times New Roman"/>
          <w:sz w:val="24"/>
          <w:szCs w:val="24"/>
        </w:rPr>
      </w:pPr>
      <w:r w:rsidRPr="009B315F">
        <w:rPr>
          <w:rFonts w:ascii="Times New Roman" w:eastAsia="Times New Roman" w:hAnsi="Times New Roman" w:cs="Times New Roman"/>
          <w:sz w:val="24"/>
          <w:szCs w:val="24"/>
        </w:rPr>
        <w:t xml:space="preserve">With variations that do not alter the chief features of the case—other than that merger is not a typical solution for financially strapped institutions—this illustration could be reproduced for </w:t>
      </w:r>
      <w:r w:rsidRPr="009B315F">
        <w:rPr>
          <w:rFonts w:ascii="Times New Roman" w:eastAsia="Times New Roman" w:hAnsi="Times New Roman" w:cs="Times New Roman"/>
          <w:sz w:val="24"/>
          <w:szCs w:val="24"/>
        </w:rPr>
        <w:lastRenderedPageBreak/>
        <w:t>many campuses. A key point is that institutions that do not have policies and procedures for effective joint action on budgetary issues in normal times are unlikely to have them (or perhaps even want them) during a financial crisis.</w:t>
      </w:r>
    </w:p>
    <w:p w:rsidR="009B315F" w:rsidRPr="009B315F" w:rsidRDefault="009B315F" w:rsidP="009B315F">
      <w:pPr>
        <w:spacing w:before="100" w:beforeAutospacing="1" w:after="100" w:afterAutospacing="1" w:line="240" w:lineRule="auto"/>
        <w:rPr>
          <w:rFonts w:ascii="Times New Roman" w:eastAsia="Times New Roman" w:hAnsi="Times New Roman" w:cs="Times New Roman"/>
          <w:sz w:val="24"/>
          <w:szCs w:val="24"/>
        </w:rPr>
      </w:pPr>
      <w:r w:rsidRPr="009B315F">
        <w:rPr>
          <w:rFonts w:ascii="Times New Roman" w:eastAsia="Times New Roman" w:hAnsi="Times New Roman" w:cs="Times New Roman"/>
          <w:sz w:val="24"/>
          <w:szCs w:val="24"/>
        </w:rPr>
        <w:t>Policies and procedures are not self-operating. They need to be interpreted and followed. Faculty members, administrators, and members of governing boards need to work conscientiously together to ensure that sound policies and procedures are not frustrated, ignored, or sabotaged. Having stated policies and procedures does not guarantee effective decision making on budgetary matters, but they are the indispensable basis for good practice when an institution is experiencing significant financial shortfalls. Of course, policies and procedures currently in effect should be regularly reviewed, and, as necessary, revised. Here, too, joint effort by the faculty, administration, and governing board best serves the institution.</w:t>
      </w:r>
    </w:p>
    <w:p w:rsidR="009B315F" w:rsidRPr="009B315F" w:rsidRDefault="009B315F" w:rsidP="009B315F">
      <w:pPr>
        <w:spacing w:before="100" w:beforeAutospacing="1" w:after="100" w:afterAutospacing="1" w:line="240" w:lineRule="auto"/>
        <w:outlineLvl w:val="2"/>
        <w:rPr>
          <w:rFonts w:ascii="Times New Roman" w:eastAsia="Times New Roman" w:hAnsi="Times New Roman" w:cs="Times New Roman"/>
          <w:b/>
          <w:bCs/>
          <w:sz w:val="27"/>
          <w:szCs w:val="27"/>
        </w:rPr>
      </w:pPr>
      <w:r w:rsidRPr="009B315F">
        <w:rPr>
          <w:rFonts w:ascii="Times New Roman" w:eastAsia="Times New Roman" w:hAnsi="Times New Roman" w:cs="Times New Roman"/>
          <w:b/>
          <w:bCs/>
          <w:sz w:val="27"/>
          <w:szCs w:val="27"/>
        </w:rPr>
        <w:t>5. Reorganization</w:t>
      </w:r>
    </w:p>
    <w:p w:rsidR="009B315F" w:rsidRPr="009B315F" w:rsidRDefault="009B315F" w:rsidP="009B315F">
      <w:pPr>
        <w:spacing w:before="100" w:beforeAutospacing="1" w:after="100" w:afterAutospacing="1" w:line="240" w:lineRule="auto"/>
        <w:rPr>
          <w:rFonts w:ascii="Times New Roman" w:eastAsia="Times New Roman" w:hAnsi="Times New Roman" w:cs="Times New Roman"/>
          <w:sz w:val="24"/>
          <w:szCs w:val="24"/>
        </w:rPr>
      </w:pPr>
      <w:r w:rsidRPr="009B315F">
        <w:rPr>
          <w:rFonts w:ascii="Times New Roman" w:eastAsia="Times New Roman" w:hAnsi="Times New Roman" w:cs="Times New Roman"/>
          <w:sz w:val="24"/>
          <w:szCs w:val="24"/>
        </w:rPr>
        <w:t xml:space="preserve">While a college or university’s financial problems can precipitate the termination of faculty appointments, terminations are sometimes carried out with a view to reorganization as well as to economy. Reorganization, whether the result is to reduce, discontinue, or merge academic programs or departments, is commonplace in higher education, and, indeed, can be a sign that an institution is striving to improve itself. An institution’s financial hard times may be a genuine reason for reorganization. It may also be an excuse for it. </w:t>
      </w:r>
    </w:p>
    <w:p w:rsidR="009B315F" w:rsidRPr="009B315F" w:rsidRDefault="009B315F" w:rsidP="009B315F">
      <w:pPr>
        <w:spacing w:before="100" w:beforeAutospacing="1" w:after="100" w:afterAutospacing="1" w:line="240" w:lineRule="auto"/>
        <w:rPr>
          <w:rFonts w:ascii="Times New Roman" w:eastAsia="Times New Roman" w:hAnsi="Times New Roman" w:cs="Times New Roman"/>
          <w:sz w:val="24"/>
          <w:szCs w:val="24"/>
        </w:rPr>
      </w:pPr>
      <w:r w:rsidRPr="009B315F">
        <w:rPr>
          <w:rFonts w:ascii="Times New Roman" w:eastAsia="Times New Roman" w:hAnsi="Times New Roman" w:cs="Times New Roman"/>
          <w:sz w:val="24"/>
          <w:szCs w:val="24"/>
        </w:rPr>
        <w:t>At times, reorganization is championed because change is seen as the desirable characteristic of institutional health. Drastic shifts in institutional structure have been justified on grounds that students, potential benefactors, and the public need to be shown that those in authority are in command and are taking fresh steps to infuse the institution with vitality. Such reorganizations Such reorganizations typically rely on business managerial techniques to reduce or close programs and departments, with scant respect for principles of tenure, academic due process, and academic governance.</w:t>
      </w:r>
    </w:p>
    <w:p w:rsidR="009B315F" w:rsidRPr="009B315F" w:rsidRDefault="009B315F" w:rsidP="009B315F">
      <w:pPr>
        <w:spacing w:before="100" w:beforeAutospacing="1" w:after="100" w:afterAutospacing="1" w:line="240" w:lineRule="auto"/>
        <w:rPr>
          <w:rFonts w:ascii="Times New Roman" w:eastAsia="Times New Roman" w:hAnsi="Times New Roman" w:cs="Times New Roman"/>
          <w:sz w:val="24"/>
          <w:szCs w:val="24"/>
        </w:rPr>
      </w:pPr>
      <w:r w:rsidRPr="009B315F">
        <w:rPr>
          <w:rFonts w:ascii="Times New Roman" w:eastAsia="Times New Roman" w:hAnsi="Times New Roman" w:cs="Times New Roman"/>
          <w:sz w:val="24"/>
          <w:szCs w:val="24"/>
        </w:rPr>
        <w:t>In nine of the twenty-eight published AAUP case reports, reorganization in one form or another played a part in the administration’s action to terminate faculty appointments.</w:t>
      </w:r>
      <w:hyperlink r:id="rId17" w:history="1">
        <w:r w:rsidRPr="009B315F">
          <w:rPr>
            <w:rFonts w:ascii="Times New Roman" w:eastAsia="Times New Roman" w:hAnsi="Times New Roman" w:cs="Times New Roman"/>
            <w:color w:val="0000FF"/>
            <w:sz w:val="24"/>
            <w:szCs w:val="24"/>
            <w:u w:val="single"/>
          </w:rPr>
          <w:t>10</w:t>
        </w:r>
      </w:hyperlink>
      <w:r w:rsidRPr="009B315F">
        <w:rPr>
          <w:rFonts w:ascii="Times New Roman" w:eastAsia="Times New Roman" w:hAnsi="Times New Roman" w:cs="Times New Roman"/>
          <w:sz w:val="24"/>
          <w:szCs w:val="24"/>
        </w:rPr>
        <w:t xml:space="preserve"> </w:t>
      </w:r>
      <w:bookmarkStart w:id="8" w:name="b10"/>
      <w:bookmarkEnd w:id="8"/>
      <w:r w:rsidRPr="009B315F">
        <w:rPr>
          <w:rFonts w:ascii="Times New Roman" w:eastAsia="Times New Roman" w:hAnsi="Times New Roman" w:cs="Times New Roman"/>
          <w:sz w:val="24"/>
          <w:szCs w:val="24"/>
        </w:rPr>
        <w:t>In each of the nine cases, the part played was deeply flawed procedurally. At Alaska Pacific University, for example, the investigating committee found that although two academic departments were closed, a new department was established with several openings for which the faculty members who had been released were qualified, but, with one exception, were not engaged.</w:t>
      </w:r>
    </w:p>
    <w:p w:rsidR="009B315F" w:rsidRPr="009B315F" w:rsidRDefault="009B315F" w:rsidP="009B315F">
      <w:pPr>
        <w:spacing w:before="100" w:beforeAutospacing="1" w:after="100" w:afterAutospacing="1" w:line="240" w:lineRule="auto"/>
        <w:rPr>
          <w:rFonts w:ascii="Times New Roman" w:eastAsia="Times New Roman" w:hAnsi="Times New Roman" w:cs="Times New Roman"/>
          <w:sz w:val="24"/>
          <w:szCs w:val="24"/>
        </w:rPr>
      </w:pPr>
      <w:r w:rsidRPr="009B315F">
        <w:rPr>
          <w:rFonts w:ascii="Times New Roman" w:eastAsia="Times New Roman" w:hAnsi="Times New Roman" w:cs="Times New Roman"/>
          <w:sz w:val="24"/>
          <w:szCs w:val="24"/>
        </w:rPr>
        <w:t>More broadly, a common procedural defect among the nine cases was the open-ended nature of the meaning of “reorganization.” In the Bennington College case, a faculty position could be terminated, under the policies then in force at the college, if a “change in educational policy requires the elimination of that teaching position.” The investigating committee pointed out that, under this flawed standard, the “mere assertion of a change in educational policy can provide the requisite rationale for the elimination of any faculty at any time.”</w:t>
      </w:r>
    </w:p>
    <w:p w:rsidR="009B315F" w:rsidRPr="009B315F" w:rsidRDefault="009B315F" w:rsidP="009B315F">
      <w:pPr>
        <w:spacing w:before="100" w:beforeAutospacing="1" w:after="100" w:afterAutospacing="1" w:line="240" w:lineRule="auto"/>
        <w:rPr>
          <w:rFonts w:ascii="Times New Roman" w:eastAsia="Times New Roman" w:hAnsi="Times New Roman" w:cs="Times New Roman"/>
          <w:sz w:val="24"/>
          <w:szCs w:val="24"/>
        </w:rPr>
      </w:pPr>
      <w:r w:rsidRPr="009B315F">
        <w:rPr>
          <w:rFonts w:ascii="Times New Roman" w:eastAsia="Times New Roman" w:hAnsi="Times New Roman" w:cs="Times New Roman"/>
          <w:sz w:val="24"/>
          <w:szCs w:val="24"/>
        </w:rPr>
        <w:t xml:space="preserve">Even more open-ended, and therefore posing an even greater threat to faculty rights, were the policies in effect at the University of Idaho in 1982, when the administration issued termination </w:t>
      </w:r>
      <w:r w:rsidRPr="009B315F">
        <w:rPr>
          <w:rFonts w:ascii="Times New Roman" w:eastAsia="Times New Roman" w:hAnsi="Times New Roman" w:cs="Times New Roman"/>
          <w:sz w:val="24"/>
          <w:szCs w:val="24"/>
        </w:rPr>
        <w:lastRenderedPageBreak/>
        <w:t>notices to faculty members on grounds of financial exigency. The governing regulations defined financial exigency as an “imminent financial crisis which threatens the viability of an agency, institution, office, or department as a whole, or one or more of its programs,” including a “discipline, or specialty within a discipline.” The standard was dangerously defective, because every faculty member at the University of Idaho specialized in a discipline or a subdiscipline, and therefore every faculty member was vulnerable to appointment termination if the discipline or subdiscipline could be declared no longer “viable.” Financial exigency could thus join seamlessly with reorganization to become an everyday occurrence.</w:t>
      </w:r>
    </w:p>
    <w:p w:rsidR="009B315F" w:rsidRPr="009B315F" w:rsidRDefault="009B315F" w:rsidP="009B315F">
      <w:pPr>
        <w:spacing w:before="100" w:beforeAutospacing="1" w:after="100" w:afterAutospacing="1" w:line="240" w:lineRule="auto"/>
        <w:rPr>
          <w:rFonts w:ascii="Times New Roman" w:eastAsia="Times New Roman" w:hAnsi="Times New Roman" w:cs="Times New Roman"/>
          <w:sz w:val="24"/>
          <w:szCs w:val="24"/>
        </w:rPr>
      </w:pPr>
      <w:r w:rsidRPr="009B315F">
        <w:rPr>
          <w:rFonts w:ascii="Times New Roman" w:eastAsia="Times New Roman" w:hAnsi="Times New Roman" w:cs="Times New Roman"/>
          <w:sz w:val="24"/>
          <w:szCs w:val="24"/>
        </w:rPr>
        <w:t>The AAUP has consistently held that an institution contending with a bona fide financial exigency can terminate faculty appointments as a result of selective reduction of departments and programs, subject to the safeguards of significant faculty involvement in the financial and personnel decisions and the opportunity for a full hearing. In addition, Regulation 4(d) of the AAUP’s “Recommended Institutional Regulations” permits the termination of an appointment because of a formal discontinuance of a program or department of instruction based essentially on educational considerations.</w:t>
      </w:r>
    </w:p>
    <w:p w:rsidR="009B315F" w:rsidRPr="009B315F" w:rsidRDefault="009B315F" w:rsidP="009B315F">
      <w:pPr>
        <w:spacing w:before="100" w:beforeAutospacing="1" w:after="100" w:afterAutospacing="1" w:line="240" w:lineRule="auto"/>
        <w:rPr>
          <w:rFonts w:ascii="Times New Roman" w:eastAsia="Times New Roman" w:hAnsi="Times New Roman" w:cs="Times New Roman"/>
          <w:sz w:val="24"/>
          <w:szCs w:val="24"/>
        </w:rPr>
      </w:pPr>
      <w:r w:rsidRPr="009B315F">
        <w:rPr>
          <w:rFonts w:ascii="Times New Roman" w:eastAsia="Times New Roman" w:hAnsi="Times New Roman" w:cs="Times New Roman"/>
          <w:sz w:val="24"/>
          <w:szCs w:val="24"/>
        </w:rPr>
        <w:t>A note in the regulation cautions that “educational considerations” do not “include cyclical or temporary variations in enrollment.” Rather, something more lasting is anticipated: “long-range judgments that the educational mission of the institution as a whole will be enhanced by the discontinuance.” Moreover, the regulation does not permit the termination of appointments because of an announced reduction or reorganization of a program as opposed to the program’s discontinuance unless a financial exigency is demonstrated.</w:t>
      </w:r>
    </w:p>
    <w:p w:rsidR="009B315F" w:rsidRPr="009B315F" w:rsidRDefault="009B315F" w:rsidP="009B315F">
      <w:pPr>
        <w:spacing w:before="100" w:beforeAutospacing="1" w:after="100" w:afterAutospacing="1" w:line="240" w:lineRule="auto"/>
        <w:rPr>
          <w:rFonts w:ascii="Times New Roman" w:eastAsia="Times New Roman" w:hAnsi="Times New Roman" w:cs="Times New Roman"/>
          <w:sz w:val="24"/>
          <w:szCs w:val="24"/>
        </w:rPr>
      </w:pPr>
      <w:r w:rsidRPr="009B315F">
        <w:rPr>
          <w:rFonts w:ascii="Times New Roman" w:eastAsia="Times New Roman" w:hAnsi="Times New Roman" w:cs="Times New Roman"/>
          <w:sz w:val="24"/>
          <w:szCs w:val="24"/>
        </w:rPr>
        <w:t>An obvious question arises: why, from the AAUP’s perspective, is reorganizational pruning a permissible response to a</w:t>
      </w:r>
      <w:r w:rsidRPr="009B315F">
        <w:rPr>
          <w:rFonts w:ascii="Times New Roman" w:eastAsia="Times New Roman" w:hAnsi="Times New Roman" w:cs="Times New Roman"/>
          <w:sz w:val="24"/>
          <w:szCs w:val="24"/>
        </w:rPr>
        <w:br/>
        <w:t>demonstrably bona fide financial exigency, but not to the type of program discontinuance permitted under Regulation 4(d) of the RIR? The answer is succinctly given in the AAUP’s report on Goucher College:</w:t>
      </w:r>
    </w:p>
    <w:p w:rsidR="009B315F" w:rsidRPr="009B315F" w:rsidRDefault="009B315F" w:rsidP="009B315F">
      <w:pPr>
        <w:spacing w:beforeAutospacing="1" w:after="100" w:afterAutospacing="1" w:line="240" w:lineRule="auto"/>
        <w:rPr>
          <w:rFonts w:ascii="Times New Roman" w:eastAsia="Times New Roman" w:hAnsi="Times New Roman" w:cs="Times New Roman"/>
          <w:sz w:val="24"/>
          <w:szCs w:val="24"/>
        </w:rPr>
      </w:pPr>
      <w:r w:rsidRPr="009B315F">
        <w:rPr>
          <w:rFonts w:ascii="Times New Roman" w:eastAsia="Times New Roman" w:hAnsi="Times New Roman" w:cs="Times New Roman"/>
          <w:sz w:val="24"/>
          <w:szCs w:val="24"/>
        </w:rPr>
        <w:t>Requiring the abolition of an entire program or department helps ensure that the discontinuance is not an impermissible substitute for a declaration of financial exigency, but is indeed based essentially upon educational considerations. This requirement also guards against the threat to academic freedom that arises when an institution’s administration is allowed to pick and choose within programs and departments whose appointments it decides to terminate. Discontinuing an entire program or department provides good evidence that the decision was not a way for the administration to terminate the appointment of an unwanted tenured professor without affording the protections of due process inherent in a proceeding on dismissal for cause.</w:t>
      </w:r>
      <w:hyperlink r:id="rId18" w:anchor="11" w:history="1">
        <w:r w:rsidRPr="009B315F">
          <w:rPr>
            <w:rFonts w:ascii="Times New Roman" w:eastAsia="Times New Roman" w:hAnsi="Times New Roman" w:cs="Times New Roman"/>
            <w:color w:val="0000FF"/>
            <w:sz w:val="24"/>
            <w:szCs w:val="24"/>
            <w:u w:val="single"/>
          </w:rPr>
          <w:t>11</w:t>
        </w:r>
      </w:hyperlink>
      <w:r w:rsidRPr="009B315F">
        <w:rPr>
          <w:rFonts w:ascii="Times New Roman" w:eastAsia="Times New Roman" w:hAnsi="Times New Roman" w:cs="Times New Roman"/>
          <w:sz w:val="24"/>
          <w:szCs w:val="24"/>
        </w:rPr>
        <w:t> </w:t>
      </w:r>
      <w:bookmarkStart w:id="9" w:name="b11"/>
      <w:bookmarkEnd w:id="9"/>
    </w:p>
    <w:p w:rsidR="009B315F" w:rsidRPr="009B315F" w:rsidRDefault="009B315F" w:rsidP="009B315F">
      <w:pPr>
        <w:spacing w:before="100" w:beforeAutospacing="1" w:after="100" w:afterAutospacing="1" w:line="240" w:lineRule="auto"/>
        <w:outlineLvl w:val="1"/>
        <w:rPr>
          <w:rFonts w:ascii="Times New Roman" w:eastAsia="Times New Roman" w:hAnsi="Times New Roman" w:cs="Times New Roman"/>
          <w:b/>
          <w:bCs/>
          <w:sz w:val="36"/>
          <w:szCs w:val="36"/>
        </w:rPr>
      </w:pPr>
      <w:r w:rsidRPr="009B315F">
        <w:rPr>
          <w:rFonts w:ascii="Times New Roman" w:eastAsia="Times New Roman" w:hAnsi="Times New Roman" w:cs="Times New Roman"/>
          <w:b/>
          <w:bCs/>
          <w:sz w:val="36"/>
          <w:szCs w:val="36"/>
        </w:rPr>
        <w:t>IV. Next Steps</w:t>
      </w:r>
    </w:p>
    <w:p w:rsidR="009B315F" w:rsidRPr="009B315F" w:rsidRDefault="009B315F" w:rsidP="009B315F">
      <w:pPr>
        <w:spacing w:before="100" w:beforeAutospacing="1" w:after="100" w:afterAutospacing="1" w:line="240" w:lineRule="auto"/>
        <w:rPr>
          <w:rFonts w:ascii="Times New Roman" w:eastAsia="Times New Roman" w:hAnsi="Times New Roman" w:cs="Times New Roman"/>
          <w:sz w:val="24"/>
          <w:szCs w:val="24"/>
        </w:rPr>
      </w:pPr>
      <w:r w:rsidRPr="009B315F">
        <w:rPr>
          <w:rFonts w:ascii="Times New Roman" w:eastAsia="Times New Roman" w:hAnsi="Times New Roman" w:cs="Times New Roman"/>
          <w:sz w:val="24"/>
          <w:szCs w:val="24"/>
        </w:rPr>
        <w:t>The desirable thing to do about financial exigency and governance issues is for colleges and universities, through joint action by the faculty, administration, and governing board, to ensure that sound standards and procedures exist to deal with budgetary problems in good times and bad, and to ensure that what is applied in actual practice matches the stated standards and procedures.</w:t>
      </w:r>
    </w:p>
    <w:p w:rsidR="009B315F" w:rsidRPr="009B315F" w:rsidRDefault="009B315F" w:rsidP="009B315F">
      <w:pPr>
        <w:spacing w:before="100" w:beforeAutospacing="1" w:after="100" w:afterAutospacing="1" w:line="240" w:lineRule="auto"/>
        <w:rPr>
          <w:rFonts w:ascii="Times New Roman" w:eastAsia="Times New Roman" w:hAnsi="Times New Roman" w:cs="Times New Roman"/>
          <w:sz w:val="24"/>
          <w:szCs w:val="24"/>
        </w:rPr>
      </w:pPr>
      <w:r w:rsidRPr="009B315F">
        <w:rPr>
          <w:rFonts w:ascii="Times New Roman" w:eastAsia="Times New Roman" w:hAnsi="Times New Roman" w:cs="Times New Roman"/>
          <w:sz w:val="24"/>
          <w:szCs w:val="24"/>
        </w:rPr>
        <w:lastRenderedPageBreak/>
        <w:t>An institution can take additional steps to improve and strengthen joint decision making in budgetary matters. First, colleges and universities should adopt and distribute widely a formal statement of the respective roles and responsibilities of the governing board, administration, and faculty in decisions about the institution’s budget. Without a carefully framed policy, an institution may be forced to rely on ad hoc responses to unanticipated problems.</w:t>
      </w:r>
    </w:p>
    <w:p w:rsidR="009B315F" w:rsidRPr="009B315F" w:rsidRDefault="009B315F" w:rsidP="009B315F">
      <w:pPr>
        <w:spacing w:before="100" w:beforeAutospacing="1" w:after="100" w:afterAutospacing="1" w:line="240" w:lineRule="auto"/>
        <w:rPr>
          <w:rFonts w:ascii="Times New Roman" w:eastAsia="Times New Roman" w:hAnsi="Times New Roman" w:cs="Times New Roman"/>
          <w:sz w:val="24"/>
          <w:szCs w:val="24"/>
        </w:rPr>
      </w:pPr>
      <w:r w:rsidRPr="009B315F">
        <w:rPr>
          <w:rFonts w:ascii="Times New Roman" w:eastAsia="Times New Roman" w:hAnsi="Times New Roman" w:cs="Times New Roman"/>
          <w:sz w:val="24"/>
          <w:szCs w:val="24"/>
        </w:rPr>
        <w:t>Second, each institution should communicate key budget decisions to all members of the campus community. As this report has noted, faculty who serve on budget committees should have “access to all information” they require to carry out their tasks effectively. In addition, the large majority of faculty who do not serve on these committees need to be kept informed of the substance of budget decisions. Budget decisions, especially those addressing a financial crisis, should foster no suspicion that they are being made by members of a select group more concerned to protect their own academic interests than to safeguard the institution as a whole.</w:t>
      </w:r>
    </w:p>
    <w:p w:rsidR="009B315F" w:rsidRPr="009B315F" w:rsidRDefault="009B315F" w:rsidP="009B315F">
      <w:pPr>
        <w:spacing w:before="100" w:beforeAutospacing="1" w:after="100" w:afterAutospacing="1" w:line="240" w:lineRule="auto"/>
        <w:rPr>
          <w:rFonts w:ascii="Times New Roman" w:eastAsia="Times New Roman" w:hAnsi="Times New Roman" w:cs="Times New Roman"/>
          <w:sz w:val="24"/>
          <w:szCs w:val="24"/>
        </w:rPr>
      </w:pPr>
      <w:r w:rsidRPr="009B315F">
        <w:rPr>
          <w:rFonts w:ascii="Times New Roman" w:eastAsia="Times New Roman" w:hAnsi="Times New Roman" w:cs="Times New Roman"/>
          <w:sz w:val="24"/>
          <w:szCs w:val="24"/>
        </w:rPr>
        <w:t>Third, institutions might prepare a roster of faculty members who are expert in various facets of budgeting. The roster could serve as a resource not only for the administration but also for other faculty members or college and university committees that want to learn about budgeting and institutional finances but do not know who can assist them. Such a roster prepared (and periodically updated) by faculty members would attest to their interest in, and concern for, the institution’s financial well-being.</w:t>
      </w:r>
    </w:p>
    <w:p w:rsidR="009B315F" w:rsidRPr="009B315F" w:rsidRDefault="009B315F" w:rsidP="009B315F">
      <w:pPr>
        <w:spacing w:before="100" w:beforeAutospacing="1" w:after="100" w:afterAutospacing="1" w:line="240" w:lineRule="auto"/>
        <w:rPr>
          <w:rFonts w:ascii="Times New Roman" w:eastAsia="Times New Roman" w:hAnsi="Times New Roman" w:cs="Times New Roman"/>
          <w:sz w:val="24"/>
          <w:szCs w:val="24"/>
        </w:rPr>
      </w:pPr>
      <w:r w:rsidRPr="009B315F">
        <w:rPr>
          <w:rFonts w:ascii="Times New Roman" w:eastAsia="Times New Roman" w:hAnsi="Times New Roman" w:cs="Times New Roman"/>
          <w:sz w:val="24"/>
          <w:szCs w:val="24"/>
        </w:rPr>
        <w:t>Fourth, institutions should develop ways to encourage faculty interest in serving on budget committees and to reward such service. This can involve giving serious weight in personnel decisions to responsible participation in institutional governance, and providing opportunities, through workshops and retreats, for faculty to keep abreast of new developments in budgeting, financing, auditing, and accounting.</w:t>
      </w:r>
    </w:p>
    <w:p w:rsidR="009B315F" w:rsidRPr="009B315F" w:rsidRDefault="009B315F" w:rsidP="009B315F">
      <w:pPr>
        <w:spacing w:before="100" w:beforeAutospacing="1" w:after="100" w:afterAutospacing="1" w:line="240" w:lineRule="auto"/>
        <w:rPr>
          <w:rFonts w:ascii="Times New Roman" w:eastAsia="Times New Roman" w:hAnsi="Times New Roman" w:cs="Times New Roman"/>
          <w:sz w:val="24"/>
          <w:szCs w:val="24"/>
        </w:rPr>
      </w:pPr>
      <w:r w:rsidRPr="009B315F">
        <w:rPr>
          <w:rFonts w:ascii="Times New Roman" w:eastAsia="Times New Roman" w:hAnsi="Times New Roman" w:cs="Times New Roman"/>
          <w:sz w:val="24"/>
          <w:szCs w:val="24"/>
        </w:rPr>
        <w:t>Fifth, institutions should prepare regular reports on the effectiveness of their mechanisms for reaching budgetary decisions with the goal of improving them. Improvement could be facilitated by soliciting current and reliable information from comparable institutions—especially those that have dealt successfully with a fiscal crisis—about how budgetary decisions are made on their campuses.</w:t>
      </w:r>
    </w:p>
    <w:p w:rsidR="009B315F" w:rsidRPr="009B315F" w:rsidRDefault="009B315F" w:rsidP="009B315F">
      <w:pPr>
        <w:spacing w:before="100" w:beforeAutospacing="1" w:after="100" w:afterAutospacing="1" w:line="240" w:lineRule="auto"/>
        <w:rPr>
          <w:rFonts w:ascii="Times New Roman" w:eastAsia="Times New Roman" w:hAnsi="Times New Roman" w:cs="Times New Roman"/>
          <w:sz w:val="24"/>
          <w:szCs w:val="24"/>
        </w:rPr>
      </w:pPr>
      <w:r w:rsidRPr="009B315F">
        <w:rPr>
          <w:rFonts w:ascii="Times New Roman" w:eastAsia="Times New Roman" w:hAnsi="Times New Roman" w:cs="Times New Roman"/>
          <w:sz w:val="24"/>
          <w:szCs w:val="24"/>
        </w:rPr>
        <w:t>These recommendations are aimed at improving an institution’s ability to solve serious financial problems. The solutions each institution develops will reflect its own history and traditions, and the specific nature of the financial problems besetting it. Recognizing that each campus must determine how best to deal with its own difficulties, we list below some steps institutions have taken to increase income and reduce expenses short of terminating staff and faculty appointments.</w:t>
      </w:r>
      <w:hyperlink r:id="rId19" w:anchor="12" w:history="1">
        <w:r w:rsidRPr="009B315F">
          <w:rPr>
            <w:rFonts w:ascii="Times New Roman" w:eastAsia="Times New Roman" w:hAnsi="Times New Roman" w:cs="Times New Roman"/>
            <w:color w:val="0000FF"/>
            <w:sz w:val="24"/>
            <w:szCs w:val="24"/>
            <w:u w:val="single"/>
          </w:rPr>
          <w:t>12</w:t>
        </w:r>
      </w:hyperlink>
      <w:bookmarkStart w:id="10" w:name="b12"/>
      <w:r w:rsidRPr="009B315F">
        <w:rPr>
          <w:rFonts w:ascii="Times New Roman" w:eastAsia="Times New Roman" w:hAnsi="Times New Roman" w:cs="Times New Roman"/>
          <w:sz w:val="24"/>
          <w:szCs w:val="24"/>
        </w:rPr>
        <w:t xml:space="preserve"> </w:t>
      </w:r>
      <w:bookmarkEnd w:id="10"/>
      <w:r w:rsidRPr="009B315F">
        <w:rPr>
          <w:rFonts w:ascii="Times New Roman" w:eastAsia="Times New Roman" w:hAnsi="Times New Roman" w:cs="Times New Roman"/>
          <w:sz w:val="24"/>
          <w:szCs w:val="24"/>
        </w:rPr>
        <w:t>Terminations usually reduce expenses (and can also reduce revenue), but a good deal can be done to preclude the necessity for that extreme step. What is determined to be feasible should, of course, result from the concurrent efforts of the faculty, administration, and governing board.</w:t>
      </w:r>
    </w:p>
    <w:p w:rsidR="009B315F" w:rsidRPr="009B315F" w:rsidRDefault="009B315F" w:rsidP="009B315F">
      <w:pPr>
        <w:spacing w:before="100" w:beforeAutospacing="1" w:after="100" w:afterAutospacing="1" w:line="240" w:lineRule="auto"/>
        <w:outlineLvl w:val="3"/>
        <w:rPr>
          <w:rFonts w:ascii="Times New Roman" w:eastAsia="Times New Roman" w:hAnsi="Times New Roman" w:cs="Times New Roman"/>
          <w:b/>
          <w:bCs/>
          <w:sz w:val="24"/>
          <w:szCs w:val="24"/>
        </w:rPr>
      </w:pPr>
      <w:r w:rsidRPr="009B315F">
        <w:rPr>
          <w:rFonts w:ascii="Times New Roman" w:eastAsia="Times New Roman" w:hAnsi="Times New Roman" w:cs="Times New Roman"/>
          <w:b/>
          <w:bCs/>
          <w:sz w:val="24"/>
          <w:szCs w:val="24"/>
        </w:rPr>
        <w:t>1. Steps to Increase Income</w:t>
      </w:r>
    </w:p>
    <w:p w:rsidR="009B315F" w:rsidRPr="009B315F" w:rsidRDefault="009B315F" w:rsidP="009B315F">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9B315F">
        <w:rPr>
          <w:rFonts w:ascii="Times New Roman" w:eastAsia="Times New Roman" w:hAnsi="Times New Roman" w:cs="Times New Roman"/>
          <w:sz w:val="24"/>
          <w:szCs w:val="24"/>
        </w:rPr>
        <w:lastRenderedPageBreak/>
        <w:t xml:space="preserve">Increase the number of programs and courses geared to the needs of business and government to increase enrollment and income. Increase enrollment, or create new programs, in continuing education courses and programs focused on non-traditional adult students. </w:t>
      </w:r>
    </w:p>
    <w:p w:rsidR="009B315F" w:rsidRPr="009B315F" w:rsidRDefault="009B315F" w:rsidP="009B315F">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9B315F">
        <w:rPr>
          <w:rFonts w:ascii="Times New Roman" w:eastAsia="Times New Roman" w:hAnsi="Times New Roman" w:cs="Times New Roman"/>
          <w:sz w:val="24"/>
          <w:szCs w:val="24"/>
        </w:rPr>
        <w:t xml:space="preserve">Institute new fees, such as laboratory fees in particular areas, to cover the costs of services provided. Increase existing fees. Reduce the number of credits covered by the flat tuition rate. Increase tuition or, alternatively, reduce it to increase enrollment. </w:t>
      </w:r>
    </w:p>
    <w:p w:rsidR="009B315F" w:rsidRPr="009B315F" w:rsidRDefault="009B315F" w:rsidP="009B315F">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9B315F">
        <w:rPr>
          <w:rFonts w:ascii="Times New Roman" w:eastAsia="Times New Roman" w:hAnsi="Times New Roman" w:cs="Times New Roman"/>
          <w:sz w:val="24"/>
          <w:szCs w:val="24"/>
        </w:rPr>
        <w:t xml:space="preserve">Shift the institution’s investment portfolio from a focus on long-term growth to an emphasis on gaining greater income. Increase unrestricted gifts in fund-raising drives.Review overhead charges to grants and contracts to determine if rates can be revised upward. </w:t>
      </w:r>
    </w:p>
    <w:p w:rsidR="009B315F" w:rsidRPr="009B315F" w:rsidRDefault="009B315F" w:rsidP="009B315F">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9B315F">
        <w:rPr>
          <w:rFonts w:ascii="Times New Roman" w:eastAsia="Times New Roman" w:hAnsi="Times New Roman" w:cs="Times New Roman"/>
          <w:sz w:val="24"/>
          <w:szCs w:val="24"/>
        </w:rPr>
        <w:t xml:space="preserve">Review assets owned by the institution (for example, land and fine art) to determine if they can and should be sold or leased. </w:t>
      </w:r>
    </w:p>
    <w:p w:rsidR="009B315F" w:rsidRPr="009B315F" w:rsidRDefault="009B315F" w:rsidP="009B315F">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9B315F">
        <w:rPr>
          <w:rFonts w:ascii="Times New Roman" w:eastAsia="Times New Roman" w:hAnsi="Times New Roman" w:cs="Times New Roman"/>
          <w:sz w:val="24"/>
          <w:szCs w:val="24"/>
        </w:rPr>
        <w:t xml:space="preserve">Review use of campus buildings to determine if they can and should be better utilized by, for example, outside groups renting the institution’s facilities. </w:t>
      </w:r>
    </w:p>
    <w:p w:rsidR="009B315F" w:rsidRPr="009B315F" w:rsidRDefault="009B315F" w:rsidP="009B315F">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9B315F">
        <w:rPr>
          <w:rFonts w:ascii="Times New Roman" w:eastAsia="Times New Roman" w:hAnsi="Times New Roman" w:cs="Times New Roman"/>
          <w:sz w:val="24"/>
          <w:szCs w:val="24"/>
        </w:rPr>
        <w:t xml:space="preserve">Review student scholarship and loan opportunities and other policies and programs to encourage increased enrollment or to maintain enrollment. Improve student recruitment and the admissions process. Improve student facilities. Improve public relations and develop a “good-place-to-enroll” image of the institution to increase enrollment and fund raising. </w:t>
      </w:r>
    </w:p>
    <w:p w:rsidR="009B315F" w:rsidRPr="009B315F" w:rsidRDefault="009B315F" w:rsidP="009B315F">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9B315F">
        <w:rPr>
          <w:rFonts w:ascii="Times New Roman" w:eastAsia="Times New Roman" w:hAnsi="Times New Roman" w:cs="Times New Roman"/>
          <w:sz w:val="24"/>
          <w:szCs w:val="24"/>
        </w:rPr>
        <w:t>Establish or improve services for alumni and encourage alumni to make financial support of the institution a top priority.</w:t>
      </w:r>
    </w:p>
    <w:p w:rsidR="009B315F" w:rsidRPr="009B315F" w:rsidRDefault="009B315F" w:rsidP="009B315F">
      <w:pPr>
        <w:spacing w:before="100" w:beforeAutospacing="1" w:after="100" w:afterAutospacing="1" w:line="240" w:lineRule="auto"/>
        <w:outlineLvl w:val="3"/>
        <w:rPr>
          <w:rFonts w:ascii="Times New Roman" w:eastAsia="Times New Roman" w:hAnsi="Times New Roman" w:cs="Times New Roman"/>
          <w:b/>
          <w:bCs/>
          <w:sz w:val="24"/>
          <w:szCs w:val="24"/>
        </w:rPr>
      </w:pPr>
      <w:r w:rsidRPr="009B315F">
        <w:rPr>
          <w:rFonts w:ascii="Times New Roman" w:eastAsia="Times New Roman" w:hAnsi="Times New Roman" w:cs="Times New Roman"/>
          <w:b/>
          <w:bCs/>
          <w:sz w:val="24"/>
          <w:szCs w:val="24"/>
        </w:rPr>
        <w:t>2. Steps to Reduce Expenses</w:t>
      </w:r>
    </w:p>
    <w:p w:rsidR="009B315F" w:rsidRPr="009B315F" w:rsidRDefault="009B315F" w:rsidP="009B315F">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9B315F">
        <w:rPr>
          <w:rFonts w:ascii="Times New Roman" w:eastAsia="Times New Roman" w:hAnsi="Times New Roman" w:cs="Times New Roman"/>
          <w:sz w:val="24"/>
          <w:szCs w:val="24"/>
        </w:rPr>
        <w:t xml:space="preserve">Identify potential energy cost savings throughout the institution (for example, the heating and cooling of buildings and the use of elevators). Identify cost savings in the use of supplies and paper and in telephone, mail, computer, and duplicating and printing services. Reduce advertising costs. Close individual buildings at specific times to save utility and maintenance costs. </w:t>
      </w:r>
    </w:p>
    <w:p w:rsidR="009B315F" w:rsidRPr="009B315F" w:rsidRDefault="009B315F" w:rsidP="009B315F">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9B315F">
        <w:rPr>
          <w:rFonts w:ascii="Times New Roman" w:eastAsia="Times New Roman" w:hAnsi="Times New Roman" w:cs="Times New Roman"/>
          <w:sz w:val="24"/>
          <w:szCs w:val="24"/>
        </w:rPr>
        <w:t xml:space="preserve">Defer major and minor repair and maintenance for as long as possible. Postpone major building projects. </w:t>
      </w:r>
    </w:p>
    <w:p w:rsidR="009B315F" w:rsidRPr="009B315F" w:rsidRDefault="009B315F" w:rsidP="009B315F">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9B315F">
        <w:rPr>
          <w:rFonts w:ascii="Times New Roman" w:eastAsia="Times New Roman" w:hAnsi="Times New Roman" w:cs="Times New Roman"/>
          <w:sz w:val="24"/>
          <w:szCs w:val="24"/>
        </w:rPr>
        <w:t xml:space="preserve">Negotiate with the local government for free services, or reduced costs for current services. Review auxiliary services to reduce costs. Reduce or eliminate external consultants. </w:t>
      </w:r>
    </w:p>
    <w:p w:rsidR="009B315F" w:rsidRPr="009B315F" w:rsidRDefault="009B315F" w:rsidP="009B315F">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9B315F">
        <w:rPr>
          <w:rFonts w:ascii="Times New Roman" w:eastAsia="Times New Roman" w:hAnsi="Times New Roman" w:cs="Times New Roman"/>
          <w:sz w:val="24"/>
          <w:szCs w:val="24"/>
        </w:rPr>
        <w:t xml:space="preserve">Reduce travel, entertainment, and conference expenditures. Reduce expenses for recruitment of staff and faculty. Reduce library and academic department subscriptions to newspapers, magazines, and journals. </w:t>
      </w:r>
    </w:p>
    <w:p w:rsidR="009B315F" w:rsidRPr="009B315F" w:rsidRDefault="009B315F" w:rsidP="009B315F">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9B315F">
        <w:rPr>
          <w:rFonts w:ascii="Times New Roman" w:eastAsia="Times New Roman" w:hAnsi="Times New Roman" w:cs="Times New Roman"/>
          <w:sz w:val="24"/>
          <w:szCs w:val="24"/>
        </w:rPr>
        <w:t xml:space="preserve">Reduce or eliminate expenditures for nonacademic functions, services, and activities that are not essential to the institution’s academic mission. Reduce expenses for leases and contracts with outside vendors. </w:t>
      </w:r>
    </w:p>
    <w:p w:rsidR="009B315F" w:rsidRPr="009B315F" w:rsidRDefault="009B315F" w:rsidP="009B315F">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9B315F">
        <w:rPr>
          <w:rFonts w:ascii="Times New Roman" w:eastAsia="Times New Roman" w:hAnsi="Times New Roman" w:cs="Times New Roman"/>
          <w:sz w:val="24"/>
          <w:szCs w:val="24"/>
        </w:rPr>
        <w:t xml:space="preserve">Reduce the number of visiting scholars and lecturers. Reduce the number of graduate assistantships. Reduce over-time. Encourage early retirement for staff and faculty if, in the long run, these are programmatically desirable and cost effective. Encourage leave without pay. Delay filling staff and faculty positions. </w:t>
      </w:r>
    </w:p>
    <w:p w:rsidR="009B315F" w:rsidRPr="009B315F" w:rsidRDefault="009B315F" w:rsidP="009B315F">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9B315F">
        <w:rPr>
          <w:rFonts w:ascii="Times New Roman" w:eastAsia="Times New Roman" w:hAnsi="Times New Roman" w:cs="Times New Roman"/>
          <w:sz w:val="24"/>
          <w:szCs w:val="24"/>
        </w:rPr>
        <w:lastRenderedPageBreak/>
        <w:t>Reduce or close academic programs or departments and, as needed, transfer faculty appointments to other academic units. Review benefit plans and coverage. Consider freezes on salaries, furloughs of staff and faculty, and reductions of salaries.</w:t>
      </w:r>
    </w:p>
    <w:p w:rsidR="009B315F" w:rsidRPr="009B315F" w:rsidRDefault="009B315F" w:rsidP="009B315F">
      <w:pPr>
        <w:spacing w:before="100" w:beforeAutospacing="1" w:after="100" w:afterAutospacing="1" w:line="240" w:lineRule="auto"/>
        <w:outlineLvl w:val="1"/>
        <w:rPr>
          <w:rFonts w:ascii="Times New Roman" w:eastAsia="Times New Roman" w:hAnsi="Times New Roman" w:cs="Times New Roman"/>
          <w:b/>
          <w:bCs/>
          <w:sz w:val="36"/>
          <w:szCs w:val="36"/>
        </w:rPr>
      </w:pPr>
      <w:r w:rsidRPr="009B315F">
        <w:rPr>
          <w:rFonts w:ascii="Times New Roman" w:eastAsia="Times New Roman" w:hAnsi="Times New Roman" w:cs="Times New Roman"/>
          <w:b/>
          <w:bCs/>
          <w:sz w:val="36"/>
          <w:szCs w:val="36"/>
        </w:rPr>
        <w:t>V. Conclusion</w:t>
      </w:r>
    </w:p>
    <w:p w:rsidR="009B315F" w:rsidRPr="009B315F" w:rsidRDefault="009B315F" w:rsidP="009B315F">
      <w:pPr>
        <w:spacing w:before="100" w:beforeAutospacing="1" w:after="100" w:afterAutospacing="1" w:line="240" w:lineRule="auto"/>
        <w:rPr>
          <w:rFonts w:ascii="Times New Roman" w:eastAsia="Times New Roman" w:hAnsi="Times New Roman" w:cs="Times New Roman"/>
          <w:sz w:val="24"/>
          <w:szCs w:val="24"/>
        </w:rPr>
      </w:pPr>
      <w:r w:rsidRPr="009B315F">
        <w:rPr>
          <w:rFonts w:ascii="Times New Roman" w:eastAsia="Times New Roman" w:hAnsi="Times New Roman" w:cs="Times New Roman"/>
          <w:sz w:val="24"/>
          <w:szCs w:val="24"/>
        </w:rPr>
        <w:t xml:space="preserve">These lists do not exhaust the possibilities for increasing income or reducing expenses. Reviewing the experience of a particular college or university in the budgeting process provides the clearest insight about what does and does not work. Still, this report and these measures point to ways for colleges and universities to deal with financial challenges. Neither these challenges nor the need for constant attention to them by faculty, administrations, and governing boards will likely diminish any time soon. </w:t>
      </w:r>
    </w:p>
    <w:p w:rsidR="009B315F" w:rsidRPr="009B315F" w:rsidRDefault="009B315F" w:rsidP="009B315F">
      <w:pPr>
        <w:spacing w:before="100" w:beforeAutospacing="1" w:after="100" w:afterAutospacing="1" w:line="240" w:lineRule="auto"/>
        <w:rPr>
          <w:rFonts w:ascii="Times New Roman" w:eastAsia="Times New Roman" w:hAnsi="Times New Roman" w:cs="Times New Roman"/>
          <w:sz w:val="24"/>
          <w:szCs w:val="24"/>
        </w:rPr>
      </w:pPr>
      <w:r w:rsidRPr="009B315F">
        <w:rPr>
          <w:rFonts w:ascii="Times New Roman" w:eastAsia="Times New Roman" w:hAnsi="Times New Roman" w:cs="Times New Roman"/>
          <w:sz w:val="24"/>
          <w:szCs w:val="24"/>
        </w:rPr>
        <w:t>WILLIAM J. WOODWARD (Law), Temple University</w:t>
      </w:r>
      <w:r w:rsidRPr="009B315F">
        <w:rPr>
          <w:rFonts w:ascii="Times New Roman" w:eastAsia="Times New Roman" w:hAnsi="Times New Roman" w:cs="Times New Roman"/>
          <w:sz w:val="24"/>
          <w:szCs w:val="24"/>
        </w:rPr>
        <w:br/>
        <w:t>EILEEN BURCHELL (French), Marymount College of Fordham University</w:t>
      </w:r>
      <w:r w:rsidRPr="009B315F">
        <w:rPr>
          <w:rFonts w:ascii="Times New Roman" w:eastAsia="Times New Roman" w:hAnsi="Times New Roman" w:cs="Times New Roman"/>
          <w:sz w:val="24"/>
          <w:szCs w:val="24"/>
        </w:rPr>
        <w:br/>
        <w:t>DONALD R. WAGNER (Political Science), State University of West Georgia</w:t>
      </w:r>
      <w:r w:rsidRPr="009B315F">
        <w:rPr>
          <w:rFonts w:ascii="Times New Roman" w:eastAsia="Times New Roman" w:hAnsi="Times New Roman" w:cs="Times New Roman"/>
          <w:sz w:val="24"/>
          <w:szCs w:val="24"/>
        </w:rPr>
        <w:br/>
      </w:r>
      <w:r w:rsidRPr="009B315F">
        <w:rPr>
          <w:rFonts w:ascii="Times New Roman" w:eastAsia="Times New Roman" w:hAnsi="Times New Roman" w:cs="Times New Roman"/>
          <w:i/>
          <w:iCs/>
          <w:sz w:val="24"/>
          <w:szCs w:val="24"/>
        </w:rPr>
        <w:t>Joint Subcommittee</w:t>
      </w:r>
      <w:r w:rsidRPr="009B315F">
        <w:rPr>
          <w:rFonts w:ascii="Times New Roman" w:eastAsia="Times New Roman" w:hAnsi="Times New Roman" w:cs="Times New Roman"/>
          <w:sz w:val="24"/>
          <w:szCs w:val="24"/>
        </w:rPr>
        <w:br/>
        <w:t xml:space="preserve">JONATHAN KNIGHT, </w:t>
      </w:r>
      <w:r w:rsidRPr="009B315F">
        <w:rPr>
          <w:rFonts w:ascii="Times New Roman" w:eastAsia="Times New Roman" w:hAnsi="Times New Roman" w:cs="Times New Roman"/>
          <w:i/>
          <w:iCs/>
          <w:sz w:val="24"/>
          <w:szCs w:val="24"/>
        </w:rPr>
        <w:t xml:space="preserve">staff </w:t>
      </w:r>
    </w:p>
    <w:p w:rsidR="009B315F" w:rsidRPr="009B315F" w:rsidRDefault="009B315F" w:rsidP="009B315F">
      <w:pPr>
        <w:spacing w:before="100" w:beforeAutospacing="1" w:after="100" w:afterAutospacing="1" w:line="240" w:lineRule="auto"/>
        <w:outlineLvl w:val="1"/>
        <w:rPr>
          <w:rFonts w:ascii="Times New Roman" w:eastAsia="Times New Roman" w:hAnsi="Times New Roman" w:cs="Times New Roman"/>
          <w:b/>
          <w:bCs/>
          <w:sz w:val="36"/>
          <w:szCs w:val="36"/>
        </w:rPr>
      </w:pPr>
      <w:r w:rsidRPr="009B315F">
        <w:rPr>
          <w:rFonts w:ascii="Times New Roman" w:eastAsia="Times New Roman" w:hAnsi="Times New Roman" w:cs="Times New Roman"/>
          <w:b/>
          <w:bCs/>
          <w:sz w:val="36"/>
          <w:szCs w:val="36"/>
        </w:rPr>
        <w:t>End Notes</w:t>
      </w:r>
    </w:p>
    <w:p w:rsidR="009B315F" w:rsidRPr="009B315F" w:rsidRDefault="009B315F" w:rsidP="009B315F">
      <w:pPr>
        <w:spacing w:before="100" w:beforeAutospacing="1" w:after="100" w:afterAutospacing="1" w:line="240" w:lineRule="auto"/>
        <w:rPr>
          <w:rFonts w:ascii="Times New Roman" w:eastAsia="Times New Roman" w:hAnsi="Times New Roman" w:cs="Times New Roman"/>
          <w:sz w:val="24"/>
          <w:szCs w:val="24"/>
        </w:rPr>
      </w:pPr>
      <w:bookmarkStart w:id="11" w:name="1"/>
      <w:bookmarkEnd w:id="11"/>
      <w:r w:rsidRPr="009B315F">
        <w:rPr>
          <w:rFonts w:ascii="Times New Roman" w:eastAsia="Times New Roman" w:hAnsi="Times New Roman" w:cs="Times New Roman"/>
          <w:sz w:val="24"/>
          <w:szCs w:val="24"/>
        </w:rPr>
        <w:t xml:space="preserve">1. This description follows almost verbatim Richard J. Meisinger, Jr., and Leroy W. Dubeck, </w:t>
      </w:r>
      <w:r w:rsidRPr="009B315F">
        <w:rPr>
          <w:rFonts w:ascii="Times New Roman" w:eastAsia="Times New Roman" w:hAnsi="Times New Roman" w:cs="Times New Roman"/>
          <w:i/>
          <w:iCs/>
          <w:sz w:val="24"/>
          <w:szCs w:val="24"/>
        </w:rPr>
        <w:t>College and University Budgeting: An Introduction for Faculty and Academic Administrators</w:t>
      </w:r>
      <w:r w:rsidRPr="009B315F">
        <w:rPr>
          <w:rFonts w:ascii="Times New Roman" w:eastAsia="Times New Roman" w:hAnsi="Times New Roman" w:cs="Times New Roman"/>
          <w:sz w:val="24"/>
          <w:szCs w:val="24"/>
        </w:rPr>
        <w:t xml:space="preserve"> (Washington, D.C.: National Association of College and University Business Officers, 1984), 4, 5. This handbook was sponsored by the AAUP and NACUBO. </w:t>
      </w:r>
      <w:hyperlink r:id="rId20" w:anchor="b1" w:history="1">
        <w:r w:rsidRPr="009B315F">
          <w:rPr>
            <w:rFonts w:ascii="Times New Roman" w:eastAsia="Times New Roman" w:hAnsi="Times New Roman" w:cs="Times New Roman"/>
            <w:color w:val="0000FF"/>
            <w:sz w:val="24"/>
            <w:szCs w:val="24"/>
            <w:u w:val="single"/>
          </w:rPr>
          <w:t>Back to text</w:t>
        </w:r>
      </w:hyperlink>
    </w:p>
    <w:p w:rsidR="009B315F" w:rsidRPr="009B315F" w:rsidRDefault="009B315F" w:rsidP="009B315F">
      <w:pPr>
        <w:spacing w:before="100" w:beforeAutospacing="1" w:after="100" w:afterAutospacing="1" w:line="240" w:lineRule="auto"/>
        <w:rPr>
          <w:rFonts w:ascii="Times New Roman" w:eastAsia="Times New Roman" w:hAnsi="Times New Roman" w:cs="Times New Roman"/>
          <w:sz w:val="24"/>
          <w:szCs w:val="24"/>
        </w:rPr>
      </w:pPr>
      <w:bookmarkStart w:id="12" w:name="2"/>
      <w:bookmarkEnd w:id="12"/>
      <w:r w:rsidRPr="009B315F">
        <w:rPr>
          <w:rFonts w:ascii="Times New Roman" w:eastAsia="Times New Roman" w:hAnsi="Times New Roman" w:cs="Times New Roman"/>
          <w:sz w:val="24"/>
          <w:szCs w:val="24"/>
        </w:rPr>
        <w:t xml:space="preserve">2. "The Role of the Faculty in Budgetary and Salary Matters," in </w:t>
      </w:r>
      <w:r w:rsidRPr="009B315F">
        <w:rPr>
          <w:rFonts w:ascii="Times New Roman" w:eastAsia="Times New Roman" w:hAnsi="Times New Roman" w:cs="Times New Roman"/>
          <w:i/>
          <w:iCs/>
          <w:sz w:val="24"/>
          <w:szCs w:val="24"/>
        </w:rPr>
        <w:t>Policy Documents and Reports</w:t>
      </w:r>
      <w:r w:rsidRPr="009B315F">
        <w:rPr>
          <w:rFonts w:ascii="Times New Roman" w:eastAsia="Times New Roman" w:hAnsi="Times New Roman" w:cs="Times New Roman"/>
          <w:sz w:val="24"/>
          <w:szCs w:val="24"/>
        </w:rPr>
        <w:t xml:space="preserve">, 9th ed. (Washington, D.C.: American Association of University Professors, 2001), 232.  </w:t>
      </w:r>
      <w:hyperlink r:id="rId21" w:anchor="b2" w:history="1">
        <w:r w:rsidRPr="009B315F">
          <w:rPr>
            <w:rFonts w:ascii="Times New Roman" w:eastAsia="Times New Roman" w:hAnsi="Times New Roman" w:cs="Times New Roman"/>
            <w:color w:val="0000FF"/>
            <w:sz w:val="24"/>
            <w:szCs w:val="24"/>
            <w:u w:val="single"/>
          </w:rPr>
          <w:t>Back to text</w:t>
        </w:r>
      </w:hyperlink>
    </w:p>
    <w:p w:rsidR="009B315F" w:rsidRPr="009B315F" w:rsidRDefault="009B315F" w:rsidP="009B315F">
      <w:pPr>
        <w:spacing w:before="100" w:beforeAutospacing="1" w:after="100" w:afterAutospacing="1" w:line="240" w:lineRule="auto"/>
        <w:rPr>
          <w:rFonts w:ascii="Times New Roman" w:eastAsia="Times New Roman" w:hAnsi="Times New Roman" w:cs="Times New Roman"/>
          <w:sz w:val="24"/>
          <w:szCs w:val="24"/>
        </w:rPr>
      </w:pPr>
      <w:bookmarkStart w:id="13" w:name="3"/>
      <w:bookmarkEnd w:id="13"/>
      <w:r w:rsidRPr="009B315F">
        <w:rPr>
          <w:rFonts w:ascii="Times New Roman" w:eastAsia="Times New Roman" w:hAnsi="Times New Roman" w:cs="Times New Roman"/>
          <w:sz w:val="24"/>
          <w:szCs w:val="24"/>
        </w:rPr>
        <w:t xml:space="preserve">3. The full text of the 1966 </w:t>
      </w:r>
      <w:r w:rsidRPr="009B315F">
        <w:rPr>
          <w:rFonts w:ascii="Times New Roman" w:eastAsia="Times New Roman" w:hAnsi="Times New Roman" w:cs="Times New Roman"/>
          <w:i/>
          <w:iCs/>
          <w:sz w:val="24"/>
          <w:szCs w:val="24"/>
        </w:rPr>
        <w:t>Statement,</w:t>
      </w:r>
      <w:r w:rsidRPr="009B315F">
        <w:rPr>
          <w:rFonts w:ascii="Times New Roman" w:eastAsia="Times New Roman" w:hAnsi="Times New Roman" w:cs="Times New Roman"/>
          <w:sz w:val="24"/>
          <w:szCs w:val="24"/>
        </w:rPr>
        <w:t xml:space="preserve"> jointly formulated by the AAUP, the American Council on Education, and the Association of Governing Boards of Universities and Colleges, appears on pages 217-23 of </w:t>
      </w:r>
      <w:r w:rsidRPr="009B315F">
        <w:rPr>
          <w:rFonts w:ascii="Times New Roman" w:eastAsia="Times New Roman" w:hAnsi="Times New Roman" w:cs="Times New Roman"/>
          <w:i/>
          <w:iCs/>
          <w:sz w:val="24"/>
          <w:szCs w:val="24"/>
        </w:rPr>
        <w:t>Policy Documents and Reports</w:t>
      </w:r>
      <w:r w:rsidRPr="009B315F">
        <w:rPr>
          <w:rFonts w:ascii="Times New Roman" w:eastAsia="Times New Roman" w:hAnsi="Times New Roman" w:cs="Times New Roman"/>
          <w:sz w:val="24"/>
          <w:szCs w:val="24"/>
        </w:rPr>
        <w:t xml:space="preserve">. </w:t>
      </w:r>
      <w:hyperlink r:id="rId22" w:anchor="b3" w:history="1">
        <w:r w:rsidRPr="009B315F">
          <w:rPr>
            <w:rFonts w:ascii="Times New Roman" w:eastAsia="Times New Roman" w:hAnsi="Times New Roman" w:cs="Times New Roman"/>
            <w:color w:val="0000FF"/>
            <w:sz w:val="24"/>
            <w:szCs w:val="24"/>
            <w:u w:val="single"/>
          </w:rPr>
          <w:t>Back to text</w:t>
        </w:r>
      </w:hyperlink>
    </w:p>
    <w:p w:rsidR="009B315F" w:rsidRPr="009B315F" w:rsidRDefault="009B315F" w:rsidP="009B315F">
      <w:pPr>
        <w:spacing w:before="100" w:beforeAutospacing="1" w:after="100" w:afterAutospacing="1" w:line="240" w:lineRule="auto"/>
        <w:rPr>
          <w:rFonts w:ascii="Times New Roman" w:eastAsia="Times New Roman" w:hAnsi="Times New Roman" w:cs="Times New Roman"/>
          <w:sz w:val="24"/>
          <w:szCs w:val="24"/>
        </w:rPr>
      </w:pPr>
      <w:bookmarkStart w:id="14" w:name="4"/>
      <w:bookmarkEnd w:id="14"/>
      <w:r w:rsidRPr="009B315F">
        <w:rPr>
          <w:rFonts w:ascii="Times New Roman" w:eastAsia="Times New Roman" w:hAnsi="Times New Roman" w:cs="Times New Roman"/>
          <w:sz w:val="24"/>
          <w:szCs w:val="24"/>
        </w:rPr>
        <w:t xml:space="preserve">4. </w:t>
      </w:r>
      <w:r w:rsidRPr="009B315F">
        <w:rPr>
          <w:rFonts w:ascii="Times New Roman" w:eastAsia="Times New Roman" w:hAnsi="Times New Roman" w:cs="Times New Roman"/>
          <w:i/>
          <w:iCs/>
          <w:sz w:val="24"/>
          <w:szCs w:val="24"/>
        </w:rPr>
        <w:t>Bulletin of the American Association of University Professors</w:t>
      </w:r>
      <w:r w:rsidRPr="009B315F">
        <w:rPr>
          <w:rFonts w:ascii="Times New Roman" w:eastAsia="Times New Roman" w:hAnsi="Times New Roman" w:cs="Times New Roman"/>
          <w:sz w:val="24"/>
          <w:szCs w:val="24"/>
        </w:rPr>
        <w:t xml:space="preserve"> 11 (1925), 101. </w:t>
      </w:r>
      <w:hyperlink r:id="rId23" w:anchor="b4" w:history="1">
        <w:r w:rsidRPr="009B315F">
          <w:rPr>
            <w:rFonts w:ascii="Times New Roman" w:eastAsia="Times New Roman" w:hAnsi="Times New Roman" w:cs="Times New Roman"/>
            <w:color w:val="0000FF"/>
            <w:sz w:val="24"/>
            <w:szCs w:val="24"/>
            <w:u w:val="single"/>
          </w:rPr>
          <w:t>Back to text</w:t>
        </w:r>
      </w:hyperlink>
    </w:p>
    <w:p w:rsidR="009B315F" w:rsidRPr="009B315F" w:rsidRDefault="009B315F" w:rsidP="009B315F">
      <w:pPr>
        <w:spacing w:before="100" w:beforeAutospacing="1" w:after="100" w:afterAutospacing="1" w:line="240" w:lineRule="auto"/>
        <w:rPr>
          <w:rFonts w:ascii="Times New Roman" w:eastAsia="Times New Roman" w:hAnsi="Times New Roman" w:cs="Times New Roman"/>
          <w:sz w:val="24"/>
          <w:szCs w:val="24"/>
        </w:rPr>
      </w:pPr>
      <w:bookmarkStart w:id="15" w:name="5"/>
      <w:bookmarkEnd w:id="15"/>
      <w:r w:rsidRPr="009B315F">
        <w:rPr>
          <w:rFonts w:ascii="Times New Roman" w:eastAsia="Times New Roman" w:hAnsi="Times New Roman" w:cs="Times New Roman"/>
          <w:sz w:val="24"/>
          <w:szCs w:val="24"/>
        </w:rPr>
        <w:t xml:space="preserve">5. The 1940 </w:t>
      </w:r>
      <w:r w:rsidRPr="009B315F">
        <w:rPr>
          <w:rFonts w:ascii="Times New Roman" w:eastAsia="Times New Roman" w:hAnsi="Times New Roman" w:cs="Times New Roman"/>
          <w:i/>
          <w:iCs/>
          <w:sz w:val="24"/>
          <w:szCs w:val="24"/>
        </w:rPr>
        <w:t xml:space="preserve">Statement </w:t>
      </w:r>
      <w:r w:rsidRPr="009B315F">
        <w:rPr>
          <w:rFonts w:ascii="Times New Roman" w:eastAsia="Times New Roman" w:hAnsi="Times New Roman" w:cs="Times New Roman"/>
          <w:sz w:val="24"/>
          <w:szCs w:val="24"/>
        </w:rPr>
        <w:t xml:space="preserve">does not specifically define financial exigency. For a comprehensive analysis of the financial exigency provision in the RIR, see Ralph S. Brown, Jr., "Financial Exigency," </w:t>
      </w:r>
      <w:r w:rsidRPr="009B315F">
        <w:rPr>
          <w:rFonts w:ascii="Times New Roman" w:eastAsia="Times New Roman" w:hAnsi="Times New Roman" w:cs="Times New Roman"/>
          <w:i/>
          <w:iCs/>
          <w:sz w:val="24"/>
          <w:szCs w:val="24"/>
        </w:rPr>
        <w:t>Bulletin of the American Association of University Professors</w:t>
      </w:r>
      <w:r w:rsidRPr="009B315F">
        <w:rPr>
          <w:rFonts w:ascii="Times New Roman" w:eastAsia="Times New Roman" w:hAnsi="Times New Roman" w:cs="Times New Roman"/>
          <w:sz w:val="24"/>
          <w:szCs w:val="24"/>
        </w:rPr>
        <w:t xml:space="preserve"> 62 (1976), 5-19. See also David Fellman, "The Association's Evolving Policy on Financial Exigency," </w:t>
      </w:r>
      <w:r w:rsidRPr="009B315F">
        <w:rPr>
          <w:rFonts w:ascii="Times New Roman" w:eastAsia="Times New Roman" w:hAnsi="Times New Roman" w:cs="Times New Roman"/>
          <w:i/>
          <w:iCs/>
          <w:sz w:val="24"/>
          <w:szCs w:val="24"/>
        </w:rPr>
        <w:t>Academe: Bulletin of the AAUP</w:t>
      </w:r>
      <w:r w:rsidRPr="009B315F">
        <w:rPr>
          <w:rFonts w:ascii="Times New Roman" w:eastAsia="Times New Roman" w:hAnsi="Times New Roman" w:cs="Times New Roman"/>
          <w:sz w:val="24"/>
          <w:szCs w:val="24"/>
        </w:rPr>
        <w:t xml:space="preserve"> (May-June 1984), 14-22. </w:t>
      </w:r>
      <w:hyperlink r:id="rId24" w:anchor="b5" w:history="1">
        <w:r w:rsidRPr="009B315F">
          <w:rPr>
            <w:rFonts w:ascii="Times New Roman" w:eastAsia="Times New Roman" w:hAnsi="Times New Roman" w:cs="Times New Roman"/>
            <w:color w:val="0000FF"/>
            <w:sz w:val="24"/>
            <w:szCs w:val="24"/>
            <w:u w:val="single"/>
          </w:rPr>
          <w:t>Back to text</w:t>
        </w:r>
      </w:hyperlink>
    </w:p>
    <w:p w:rsidR="009B315F" w:rsidRPr="009B315F" w:rsidRDefault="009B315F" w:rsidP="009B315F">
      <w:pPr>
        <w:spacing w:before="100" w:beforeAutospacing="1" w:after="100" w:afterAutospacing="1" w:line="240" w:lineRule="auto"/>
        <w:rPr>
          <w:rFonts w:ascii="Times New Roman" w:eastAsia="Times New Roman" w:hAnsi="Times New Roman" w:cs="Times New Roman"/>
          <w:sz w:val="24"/>
          <w:szCs w:val="24"/>
        </w:rPr>
      </w:pPr>
      <w:bookmarkStart w:id="16" w:name="6"/>
      <w:bookmarkEnd w:id="16"/>
      <w:r w:rsidRPr="009B315F">
        <w:rPr>
          <w:rFonts w:ascii="Times New Roman" w:eastAsia="Times New Roman" w:hAnsi="Times New Roman" w:cs="Times New Roman"/>
          <w:sz w:val="24"/>
          <w:szCs w:val="24"/>
        </w:rPr>
        <w:t xml:space="preserve">6. See, for example, the report on Adelphi College (New York) in </w:t>
      </w:r>
      <w:r w:rsidRPr="009B315F">
        <w:rPr>
          <w:rFonts w:ascii="Times New Roman" w:eastAsia="Times New Roman" w:hAnsi="Times New Roman" w:cs="Times New Roman"/>
          <w:i/>
          <w:iCs/>
          <w:sz w:val="24"/>
          <w:szCs w:val="24"/>
        </w:rPr>
        <w:t>Bulletin of the American Association of University Professors</w:t>
      </w:r>
      <w:r w:rsidRPr="009B315F">
        <w:rPr>
          <w:rFonts w:ascii="Times New Roman" w:eastAsia="Times New Roman" w:hAnsi="Times New Roman" w:cs="Times New Roman"/>
          <w:sz w:val="24"/>
          <w:szCs w:val="24"/>
        </w:rPr>
        <w:t xml:space="preserve">, 27 (1941), 494-517. </w:t>
      </w:r>
      <w:hyperlink r:id="rId25" w:anchor="b6" w:history="1">
        <w:r w:rsidRPr="009B315F">
          <w:rPr>
            <w:rFonts w:ascii="Times New Roman" w:eastAsia="Times New Roman" w:hAnsi="Times New Roman" w:cs="Times New Roman"/>
            <w:color w:val="0000FF"/>
            <w:sz w:val="24"/>
            <w:szCs w:val="24"/>
            <w:u w:val="single"/>
          </w:rPr>
          <w:t>Back to text</w:t>
        </w:r>
      </w:hyperlink>
    </w:p>
    <w:p w:rsidR="009B315F" w:rsidRPr="009B315F" w:rsidRDefault="009B315F" w:rsidP="009B315F">
      <w:pPr>
        <w:spacing w:before="100" w:beforeAutospacing="1" w:after="100" w:afterAutospacing="1" w:line="240" w:lineRule="auto"/>
        <w:rPr>
          <w:rFonts w:ascii="Times New Roman" w:eastAsia="Times New Roman" w:hAnsi="Times New Roman" w:cs="Times New Roman"/>
          <w:sz w:val="24"/>
          <w:szCs w:val="24"/>
        </w:rPr>
      </w:pPr>
      <w:bookmarkStart w:id="17" w:name="7"/>
      <w:bookmarkEnd w:id="17"/>
      <w:r w:rsidRPr="009B315F">
        <w:rPr>
          <w:rFonts w:ascii="Times New Roman" w:eastAsia="Times New Roman" w:hAnsi="Times New Roman" w:cs="Times New Roman"/>
          <w:sz w:val="24"/>
          <w:szCs w:val="24"/>
        </w:rPr>
        <w:lastRenderedPageBreak/>
        <w:t xml:space="preserve">7. The published reports, with the issue of the AAUP's </w:t>
      </w:r>
      <w:r w:rsidRPr="009B315F">
        <w:rPr>
          <w:rFonts w:ascii="Times New Roman" w:eastAsia="Times New Roman" w:hAnsi="Times New Roman" w:cs="Times New Roman"/>
          <w:i/>
          <w:iCs/>
          <w:sz w:val="24"/>
          <w:szCs w:val="24"/>
        </w:rPr>
        <w:t>Academe</w:t>
      </w:r>
      <w:r w:rsidRPr="009B315F">
        <w:rPr>
          <w:rFonts w:ascii="Times New Roman" w:eastAsia="Times New Roman" w:hAnsi="Times New Roman" w:cs="Times New Roman"/>
          <w:sz w:val="24"/>
          <w:szCs w:val="24"/>
        </w:rPr>
        <w:t xml:space="preserve"> (prior to 1979, the </w:t>
      </w:r>
      <w:r w:rsidRPr="009B315F">
        <w:rPr>
          <w:rFonts w:ascii="Times New Roman" w:eastAsia="Times New Roman" w:hAnsi="Times New Roman" w:cs="Times New Roman"/>
          <w:i/>
          <w:iCs/>
          <w:sz w:val="24"/>
          <w:szCs w:val="24"/>
        </w:rPr>
        <w:t>AAUP Bulletin</w:t>
      </w:r>
      <w:r w:rsidRPr="009B315F">
        <w:rPr>
          <w:rFonts w:ascii="Times New Roman" w:eastAsia="Times New Roman" w:hAnsi="Times New Roman" w:cs="Times New Roman"/>
          <w:sz w:val="24"/>
          <w:szCs w:val="24"/>
        </w:rPr>
        <w:t xml:space="preserve">) in parentheses, are as follows: Bloomfield College (spring 1974); City University of New York (April 1977); State University of New York (August 1977); University of Detroit (March 1978); University of Texas of the Permian Basin (May 1979); Harris-Stowe College (May 1981); Eastern Oregon State College (May-June 1982); University of Idaho (November-December 1982); Sonoma State University (May-June 1983); Goucher College (May-June 1983); Metropolitan Community Colleges (March-April 1984); University of Northern Colorado (May-June 1984); Westminster College of Salt Lake City (November-December 1984); Temple University (May-June 1985); Jackson State University (May-June 1986); Southern Nazarene University (November-December 1986); Morgan State University (May-June 1987); San Diego State University (March-April 1993); North Greenville College (May-June 1993); University of Bridgeport (November-December 1993); Benedict College (May-June 1994); Bennington College (March-April 1995); Alaska Pacific University (May–June 1995); Essex Community College (May–June 1995); St. Bonaventure University (July–August 1995); University of the District of Columbia (May–June 1998); MCP Hahnemann School of Medicine (May–June 2000); and University of Dubuque (September–October 2001). </w:t>
      </w:r>
      <w:hyperlink r:id="rId26" w:anchor="b7" w:history="1">
        <w:r w:rsidRPr="009B315F">
          <w:rPr>
            <w:rFonts w:ascii="Times New Roman" w:eastAsia="Times New Roman" w:hAnsi="Times New Roman" w:cs="Times New Roman"/>
            <w:color w:val="0000FF"/>
            <w:sz w:val="24"/>
            <w:szCs w:val="24"/>
            <w:u w:val="single"/>
          </w:rPr>
          <w:t>Back to text</w:t>
        </w:r>
      </w:hyperlink>
    </w:p>
    <w:p w:rsidR="009B315F" w:rsidRPr="009B315F" w:rsidRDefault="009B315F" w:rsidP="009B315F">
      <w:pPr>
        <w:spacing w:before="100" w:beforeAutospacing="1" w:after="100" w:afterAutospacing="1" w:line="240" w:lineRule="auto"/>
        <w:rPr>
          <w:rFonts w:ascii="Times New Roman" w:eastAsia="Times New Roman" w:hAnsi="Times New Roman" w:cs="Times New Roman"/>
          <w:sz w:val="24"/>
          <w:szCs w:val="24"/>
        </w:rPr>
      </w:pPr>
      <w:bookmarkStart w:id="18" w:name="8"/>
      <w:bookmarkEnd w:id="18"/>
      <w:r w:rsidRPr="009B315F">
        <w:rPr>
          <w:rFonts w:ascii="Times New Roman" w:eastAsia="Times New Roman" w:hAnsi="Times New Roman" w:cs="Times New Roman"/>
          <w:sz w:val="24"/>
          <w:szCs w:val="24"/>
        </w:rPr>
        <w:t xml:space="preserve">8. Burton R. Clark, “Faculty Authority,” </w:t>
      </w:r>
      <w:r w:rsidRPr="009B315F">
        <w:rPr>
          <w:rFonts w:ascii="Times New Roman" w:eastAsia="Times New Roman" w:hAnsi="Times New Roman" w:cs="Times New Roman"/>
          <w:i/>
          <w:iCs/>
          <w:sz w:val="24"/>
          <w:szCs w:val="24"/>
        </w:rPr>
        <w:t>Bulletin of the American Association of University Professors</w:t>
      </w:r>
      <w:r w:rsidRPr="009B315F">
        <w:rPr>
          <w:rFonts w:ascii="Times New Roman" w:eastAsia="Times New Roman" w:hAnsi="Times New Roman" w:cs="Times New Roman"/>
          <w:sz w:val="24"/>
          <w:szCs w:val="24"/>
        </w:rPr>
        <w:t xml:space="preserve"> 47 (1961), 299. </w:t>
      </w:r>
      <w:hyperlink r:id="rId27" w:anchor="b8" w:history="1">
        <w:r w:rsidRPr="009B315F">
          <w:rPr>
            <w:rFonts w:ascii="Times New Roman" w:eastAsia="Times New Roman" w:hAnsi="Times New Roman" w:cs="Times New Roman"/>
            <w:color w:val="0000FF"/>
            <w:sz w:val="24"/>
            <w:szCs w:val="24"/>
            <w:u w:val="single"/>
          </w:rPr>
          <w:t>Back to text</w:t>
        </w:r>
      </w:hyperlink>
    </w:p>
    <w:p w:rsidR="009B315F" w:rsidRPr="009B315F" w:rsidRDefault="009B315F" w:rsidP="009B315F">
      <w:pPr>
        <w:spacing w:before="100" w:beforeAutospacing="1" w:after="100" w:afterAutospacing="1" w:line="240" w:lineRule="auto"/>
        <w:rPr>
          <w:rFonts w:ascii="Times New Roman" w:eastAsia="Times New Roman" w:hAnsi="Times New Roman" w:cs="Times New Roman"/>
          <w:sz w:val="24"/>
          <w:szCs w:val="24"/>
        </w:rPr>
      </w:pPr>
      <w:bookmarkStart w:id="19" w:name="9"/>
      <w:bookmarkEnd w:id="19"/>
      <w:r w:rsidRPr="009B315F">
        <w:rPr>
          <w:rFonts w:ascii="Times New Roman" w:eastAsia="Times New Roman" w:hAnsi="Times New Roman" w:cs="Times New Roman"/>
          <w:sz w:val="24"/>
          <w:szCs w:val="24"/>
        </w:rPr>
        <w:t xml:space="preserve">9. </w:t>
      </w:r>
      <w:r w:rsidRPr="009B315F">
        <w:rPr>
          <w:rFonts w:ascii="Times New Roman" w:eastAsia="Times New Roman" w:hAnsi="Times New Roman" w:cs="Times New Roman"/>
          <w:i/>
          <w:iCs/>
          <w:sz w:val="24"/>
          <w:szCs w:val="24"/>
        </w:rPr>
        <w:t>Browzin v. Catholic University of America</w:t>
      </w:r>
      <w:r w:rsidRPr="009B315F">
        <w:rPr>
          <w:rFonts w:ascii="Times New Roman" w:eastAsia="Times New Roman" w:hAnsi="Times New Roman" w:cs="Times New Roman"/>
          <w:sz w:val="24"/>
          <w:szCs w:val="24"/>
        </w:rPr>
        <w:t xml:space="preserve">, 527 F.2d 843 (D.C. Cir. 1975), cited in Ralph S. Brown, Jr., “Financial Exigency,” </w:t>
      </w:r>
      <w:r w:rsidRPr="009B315F">
        <w:rPr>
          <w:rFonts w:ascii="Times New Roman" w:eastAsia="Times New Roman" w:hAnsi="Times New Roman" w:cs="Times New Roman"/>
          <w:i/>
          <w:iCs/>
          <w:sz w:val="24"/>
          <w:szCs w:val="24"/>
        </w:rPr>
        <w:t>Bulletin of the American Association of University Professors</w:t>
      </w:r>
      <w:r w:rsidRPr="009B315F">
        <w:rPr>
          <w:rFonts w:ascii="Times New Roman" w:eastAsia="Times New Roman" w:hAnsi="Times New Roman" w:cs="Times New Roman"/>
          <w:sz w:val="24"/>
          <w:szCs w:val="24"/>
        </w:rPr>
        <w:t xml:space="preserve"> 62 (1976), 9. The court’s observation was in the context of determining whether the university had properly applied its “suitable position” rule: “[a]n institution truly motivated only by financial considerations would not hesitate to place the tenured professor in another suitable position if one can be found, even if this means displacing a nontenured instructor.” Regulation 4(c)(4) of the AAUP’s </w:t>
      </w:r>
      <w:r w:rsidRPr="009B315F">
        <w:rPr>
          <w:rFonts w:ascii="Times New Roman" w:eastAsia="Times New Roman" w:hAnsi="Times New Roman" w:cs="Times New Roman"/>
          <w:i/>
          <w:iCs/>
          <w:sz w:val="24"/>
          <w:szCs w:val="24"/>
        </w:rPr>
        <w:t>RIR</w:t>
      </w:r>
      <w:r w:rsidRPr="009B315F">
        <w:rPr>
          <w:rFonts w:ascii="Times New Roman" w:eastAsia="Times New Roman" w:hAnsi="Times New Roman" w:cs="Times New Roman"/>
          <w:sz w:val="24"/>
          <w:szCs w:val="24"/>
        </w:rPr>
        <w:t xml:space="preserve"> states that “[b]efore terminating an appointment because of financial exigency, the institution, with faculty participation, will make every effort to place the faculty member concerned in another suitable position within the institution.”  </w:t>
      </w:r>
      <w:hyperlink r:id="rId28" w:anchor="b8" w:history="1">
        <w:r w:rsidRPr="009B315F">
          <w:rPr>
            <w:rFonts w:ascii="Times New Roman" w:eastAsia="Times New Roman" w:hAnsi="Times New Roman" w:cs="Times New Roman"/>
            <w:color w:val="0000FF"/>
            <w:sz w:val="24"/>
            <w:szCs w:val="24"/>
            <w:u w:val="single"/>
          </w:rPr>
          <w:t>Back to text</w:t>
        </w:r>
      </w:hyperlink>
    </w:p>
    <w:p w:rsidR="009B315F" w:rsidRPr="009B315F" w:rsidRDefault="009B315F" w:rsidP="009B315F">
      <w:pPr>
        <w:spacing w:before="100" w:beforeAutospacing="1" w:after="100" w:afterAutospacing="1" w:line="240" w:lineRule="auto"/>
        <w:rPr>
          <w:rFonts w:ascii="Times New Roman" w:eastAsia="Times New Roman" w:hAnsi="Times New Roman" w:cs="Times New Roman"/>
          <w:sz w:val="24"/>
          <w:szCs w:val="24"/>
        </w:rPr>
      </w:pPr>
      <w:r w:rsidRPr="009B315F">
        <w:rPr>
          <w:rFonts w:ascii="Times New Roman" w:eastAsia="Times New Roman" w:hAnsi="Times New Roman" w:cs="Times New Roman"/>
          <w:sz w:val="24"/>
          <w:szCs w:val="24"/>
        </w:rPr>
        <w:t>10</w:t>
      </w:r>
      <w:bookmarkStart w:id="20" w:name="10"/>
      <w:bookmarkEnd w:id="20"/>
      <w:r w:rsidRPr="009B315F">
        <w:rPr>
          <w:rFonts w:ascii="Times New Roman" w:eastAsia="Times New Roman" w:hAnsi="Times New Roman" w:cs="Times New Roman"/>
          <w:sz w:val="24"/>
          <w:szCs w:val="24"/>
        </w:rPr>
        <w:t xml:space="preserve">. The nine reports are the City University of New York, the State University of New York, Eastern Oregon State College, the University of Idaho, Goucher College, San Diego State University, Bennington College, Alaska Pacific University, and Essex Community College. In one published report, the investigating committee dealt almost exclusively with the termination of tenured faculty appointments for reasons of program discontinuance. See “Academic Freedom and Tenure: Yeshiva University,” </w:t>
      </w:r>
      <w:r w:rsidRPr="009B315F">
        <w:rPr>
          <w:rFonts w:ascii="Times New Roman" w:eastAsia="Times New Roman" w:hAnsi="Times New Roman" w:cs="Times New Roman"/>
          <w:i/>
          <w:iCs/>
          <w:sz w:val="24"/>
          <w:szCs w:val="24"/>
        </w:rPr>
        <w:t>Academe: Bulletin of the AAUP</w:t>
      </w:r>
      <w:r w:rsidRPr="009B315F">
        <w:rPr>
          <w:rFonts w:ascii="Times New Roman" w:eastAsia="Times New Roman" w:hAnsi="Times New Roman" w:cs="Times New Roman"/>
          <w:sz w:val="24"/>
          <w:szCs w:val="24"/>
        </w:rPr>
        <w:t xml:space="preserve"> (August 1981), 186–95.  </w:t>
      </w:r>
      <w:hyperlink r:id="rId29" w:anchor="b10" w:history="1">
        <w:r w:rsidRPr="009B315F">
          <w:rPr>
            <w:rFonts w:ascii="Times New Roman" w:eastAsia="Times New Roman" w:hAnsi="Times New Roman" w:cs="Times New Roman"/>
            <w:color w:val="0000FF"/>
            <w:sz w:val="24"/>
            <w:szCs w:val="24"/>
            <w:u w:val="single"/>
          </w:rPr>
          <w:t>Back to text</w:t>
        </w:r>
      </w:hyperlink>
    </w:p>
    <w:p w:rsidR="009B315F" w:rsidRPr="009B315F" w:rsidRDefault="009B315F" w:rsidP="009B315F">
      <w:pPr>
        <w:spacing w:before="100" w:beforeAutospacing="1" w:after="100" w:afterAutospacing="1" w:line="240" w:lineRule="auto"/>
        <w:rPr>
          <w:rFonts w:ascii="Times New Roman" w:eastAsia="Times New Roman" w:hAnsi="Times New Roman" w:cs="Times New Roman"/>
          <w:sz w:val="24"/>
          <w:szCs w:val="24"/>
        </w:rPr>
      </w:pPr>
      <w:r w:rsidRPr="009B315F">
        <w:rPr>
          <w:rFonts w:ascii="Times New Roman" w:eastAsia="Times New Roman" w:hAnsi="Times New Roman" w:cs="Times New Roman"/>
          <w:sz w:val="24"/>
          <w:szCs w:val="24"/>
        </w:rPr>
        <w:t>11</w:t>
      </w:r>
      <w:bookmarkStart w:id="21" w:name="11"/>
      <w:bookmarkEnd w:id="21"/>
      <w:r w:rsidRPr="009B315F">
        <w:rPr>
          <w:rFonts w:ascii="Times New Roman" w:eastAsia="Times New Roman" w:hAnsi="Times New Roman" w:cs="Times New Roman"/>
          <w:sz w:val="24"/>
          <w:szCs w:val="24"/>
        </w:rPr>
        <w:t xml:space="preserve">. </w:t>
      </w:r>
      <w:r w:rsidRPr="009B315F">
        <w:rPr>
          <w:rFonts w:ascii="Times New Roman" w:eastAsia="Times New Roman" w:hAnsi="Times New Roman" w:cs="Times New Roman"/>
          <w:i/>
          <w:iCs/>
          <w:sz w:val="24"/>
          <w:szCs w:val="24"/>
        </w:rPr>
        <w:t>Academe: Bulletin of the AAUP</w:t>
      </w:r>
      <w:r w:rsidRPr="009B315F">
        <w:rPr>
          <w:rFonts w:ascii="Times New Roman" w:eastAsia="Times New Roman" w:hAnsi="Times New Roman" w:cs="Times New Roman"/>
          <w:sz w:val="24"/>
          <w:szCs w:val="24"/>
        </w:rPr>
        <w:t xml:space="preserve"> (May–June 1983), 21. </w:t>
      </w:r>
      <w:hyperlink r:id="rId30" w:anchor="b11" w:history="1">
        <w:r w:rsidRPr="009B315F">
          <w:rPr>
            <w:rFonts w:ascii="Times New Roman" w:eastAsia="Times New Roman" w:hAnsi="Times New Roman" w:cs="Times New Roman"/>
            <w:color w:val="0000FF"/>
            <w:sz w:val="24"/>
            <w:szCs w:val="24"/>
            <w:u w:val="single"/>
          </w:rPr>
          <w:t>Back to text</w:t>
        </w:r>
      </w:hyperlink>
    </w:p>
    <w:p w:rsidR="009B315F" w:rsidRPr="009B315F" w:rsidRDefault="009B315F" w:rsidP="009B315F">
      <w:pPr>
        <w:spacing w:before="100" w:beforeAutospacing="1" w:after="100" w:afterAutospacing="1" w:line="240" w:lineRule="auto"/>
        <w:rPr>
          <w:rFonts w:ascii="Times New Roman" w:eastAsia="Times New Roman" w:hAnsi="Times New Roman" w:cs="Times New Roman"/>
          <w:sz w:val="24"/>
          <w:szCs w:val="24"/>
        </w:rPr>
      </w:pPr>
      <w:r w:rsidRPr="009B315F">
        <w:rPr>
          <w:rFonts w:ascii="Times New Roman" w:eastAsia="Times New Roman" w:hAnsi="Times New Roman" w:cs="Times New Roman"/>
          <w:sz w:val="24"/>
          <w:szCs w:val="24"/>
        </w:rPr>
        <w:t>12</w:t>
      </w:r>
      <w:bookmarkStart w:id="22" w:name="12"/>
      <w:bookmarkEnd w:id="22"/>
      <w:r w:rsidRPr="009B315F">
        <w:rPr>
          <w:rFonts w:ascii="Times New Roman" w:eastAsia="Times New Roman" w:hAnsi="Times New Roman" w:cs="Times New Roman"/>
          <w:sz w:val="24"/>
          <w:szCs w:val="24"/>
        </w:rPr>
        <w:t xml:space="preserve">. The lists are also drawn from Meisinger and Dubeck, College and University Budgeting, 318–24, which, in turn, relied on Samuel G. Ginsburg, “120 Ways to Increase Income and Decrease Expenses,” </w:t>
      </w:r>
      <w:r w:rsidRPr="009B315F">
        <w:rPr>
          <w:rFonts w:ascii="Times New Roman" w:eastAsia="Times New Roman" w:hAnsi="Times New Roman" w:cs="Times New Roman"/>
          <w:i/>
          <w:iCs/>
          <w:sz w:val="24"/>
          <w:szCs w:val="24"/>
        </w:rPr>
        <w:t xml:space="preserve">Business Officer </w:t>
      </w:r>
      <w:r w:rsidRPr="009B315F">
        <w:rPr>
          <w:rFonts w:ascii="Times New Roman" w:eastAsia="Times New Roman" w:hAnsi="Times New Roman" w:cs="Times New Roman"/>
          <w:sz w:val="24"/>
          <w:szCs w:val="24"/>
        </w:rPr>
        <w:t xml:space="preserve">(December 1982), 14–16. </w:t>
      </w:r>
      <w:hyperlink r:id="rId31" w:anchor="b11" w:history="1">
        <w:r w:rsidRPr="009B315F">
          <w:rPr>
            <w:rFonts w:ascii="Times New Roman" w:eastAsia="Times New Roman" w:hAnsi="Times New Roman" w:cs="Times New Roman"/>
            <w:color w:val="0000FF"/>
            <w:sz w:val="24"/>
            <w:szCs w:val="24"/>
            <w:u w:val="single"/>
          </w:rPr>
          <w:t>Back to text</w:t>
        </w:r>
      </w:hyperlink>
    </w:p>
    <w:p w:rsidR="009B315F" w:rsidRPr="009B315F" w:rsidRDefault="009B315F" w:rsidP="009B315F">
      <w:pPr>
        <w:spacing w:before="100" w:beforeAutospacing="1" w:after="100" w:afterAutospacing="1" w:line="240" w:lineRule="auto"/>
        <w:rPr>
          <w:rFonts w:ascii="Times New Roman" w:eastAsia="Times New Roman" w:hAnsi="Times New Roman" w:cs="Times New Roman"/>
          <w:sz w:val="24"/>
          <w:szCs w:val="24"/>
        </w:rPr>
      </w:pPr>
      <w:r w:rsidRPr="009B315F">
        <w:rPr>
          <w:rFonts w:ascii="Times New Roman" w:eastAsia="Times New Roman" w:hAnsi="Times New Roman" w:cs="Times New Roman"/>
          <w:sz w:val="24"/>
          <w:szCs w:val="24"/>
        </w:rPr>
        <w:t>(Posted 4/04)</w:t>
      </w:r>
    </w:p>
    <w:p w:rsidR="007E4058" w:rsidRDefault="007E4058"/>
    <w:sectPr w:rsidR="007E4058" w:rsidSect="007E405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0F7738"/>
    <w:multiLevelType w:val="multilevel"/>
    <w:tmpl w:val="071E66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4DE339A9"/>
    <w:multiLevelType w:val="multilevel"/>
    <w:tmpl w:val="6AE094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9B315F"/>
    <w:rsid w:val="007E4058"/>
    <w:rsid w:val="009B315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4058"/>
  </w:style>
  <w:style w:type="paragraph" w:styleId="Heading1">
    <w:name w:val="heading 1"/>
    <w:basedOn w:val="Normal"/>
    <w:link w:val="Heading1Char"/>
    <w:uiPriority w:val="9"/>
    <w:qFormat/>
    <w:rsid w:val="009B315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9B315F"/>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9B315F"/>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9B315F"/>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315F"/>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9B315F"/>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9B315F"/>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9B315F"/>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9B315F"/>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9B315F"/>
    <w:rPr>
      <w:color w:val="0000FF"/>
      <w:u w:val="single"/>
    </w:rPr>
  </w:style>
  <w:style w:type="character" w:styleId="Emphasis">
    <w:name w:val="Emphasis"/>
    <w:basedOn w:val="DefaultParagraphFont"/>
    <w:uiPriority w:val="20"/>
    <w:qFormat/>
    <w:rsid w:val="009B315F"/>
    <w:rPr>
      <w:i/>
      <w:iCs/>
    </w:rPr>
  </w:style>
</w:styles>
</file>

<file path=word/webSettings.xml><?xml version="1.0" encoding="utf-8"?>
<w:webSettings xmlns:r="http://schemas.openxmlformats.org/officeDocument/2006/relationships" xmlns:w="http://schemas.openxmlformats.org/wordprocessingml/2006/main">
  <w:divs>
    <w:div w:id="861210925">
      <w:bodyDiv w:val="1"/>
      <w:marLeft w:val="0"/>
      <w:marRight w:val="0"/>
      <w:marTop w:val="0"/>
      <w:marBottom w:val="0"/>
      <w:divBdr>
        <w:top w:val="none" w:sz="0" w:space="0" w:color="auto"/>
        <w:left w:val="none" w:sz="0" w:space="0" w:color="auto"/>
        <w:bottom w:val="none" w:sz="0" w:space="0" w:color="auto"/>
        <w:right w:val="none" w:sz="0" w:space="0" w:color="auto"/>
      </w:divBdr>
      <w:divsChild>
        <w:div w:id="1647006975">
          <w:blockQuote w:val="1"/>
          <w:marLeft w:val="720"/>
          <w:marRight w:val="0"/>
          <w:marTop w:val="100"/>
          <w:marBottom w:val="100"/>
          <w:divBdr>
            <w:top w:val="none" w:sz="0" w:space="0" w:color="auto"/>
            <w:left w:val="none" w:sz="0" w:space="0" w:color="auto"/>
            <w:bottom w:val="none" w:sz="0" w:space="0" w:color="auto"/>
            <w:right w:val="none" w:sz="0" w:space="0" w:color="auto"/>
          </w:divBdr>
        </w:div>
        <w:div w:id="1585802793">
          <w:blockQuote w:val="1"/>
          <w:marLeft w:val="720"/>
          <w:marRight w:val="0"/>
          <w:marTop w:val="100"/>
          <w:marBottom w:val="100"/>
          <w:divBdr>
            <w:top w:val="none" w:sz="0" w:space="0" w:color="auto"/>
            <w:left w:val="none" w:sz="0" w:space="0" w:color="auto"/>
            <w:bottom w:val="none" w:sz="0" w:space="0" w:color="auto"/>
            <w:right w:val="none" w:sz="0" w:space="0" w:color="auto"/>
          </w:divBdr>
        </w:div>
        <w:div w:id="864713277">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aup.org/AAUP/comm/rep/finexg.htm" TargetMode="External"/><Relationship Id="rId13" Type="http://schemas.openxmlformats.org/officeDocument/2006/relationships/hyperlink" Target="http://www.aaup.org/AAUP/comm/rep/finexg.htm" TargetMode="External"/><Relationship Id="rId18" Type="http://schemas.openxmlformats.org/officeDocument/2006/relationships/hyperlink" Target="http://www.aaup.org/AAUP/comm/rep/finexg.htm" TargetMode="External"/><Relationship Id="rId26" Type="http://schemas.openxmlformats.org/officeDocument/2006/relationships/hyperlink" Target="http://www.aaup.org/AAUP/comm/rep/finexg.htm" TargetMode="External"/><Relationship Id="rId3" Type="http://schemas.openxmlformats.org/officeDocument/2006/relationships/settings" Target="settings.xml"/><Relationship Id="rId21" Type="http://schemas.openxmlformats.org/officeDocument/2006/relationships/hyperlink" Target="http://www.aaup.org/AAUP/comm/rep/finexg.htm" TargetMode="External"/><Relationship Id="rId7" Type="http://schemas.openxmlformats.org/officeDocument/2006/relationships/hyperlink" Target="http://www.aaup.org/AAUP/pubsres/policydocs/contents/governancestatement.htm" TargetMode="External"/><Relationship Id="rId12" Type="http://schemas.openxmlformats.org/officeDocument/2006/relationships/hyperlink" Target="http://www.aaup.org/AAUP/comm/rep/finexg.htm" TargetMode="External"/><Relationship Id="rId17" Type="http://schemas.openxmlformats.org/officeDocument/2006/relationships/hyperlink" Target="http://www.aaup.org/AAUP/comm/rep/finexg.htm" TargetMode="External"/><Relationship Id="rId25" Type="http://schemas.openxmlformats.org/officeDocument/2006/relationships/hyperlink" Target="http://www.aaup.org/AAUP/comm/rep/finexg.htm"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aaup.org/AAUP/comm/rep/finexg.htm" TargetMode="External"/><Relationship Id="rId20" Type="http://schemas.openxmlformats.org/officeDocument/2006/relationships/hyperlink" Target="http://www.aaup.org/AAUP/comm/rep/finexg.htm" TargetMode="External"/><Relationship Id="rId29" Type="http://schemas.openxmlformats.org/officeDocument/2006/relationships/hyperlink" Target="http://www.aaup.org/AAUP/comm/rep/finexg.htm" TargetMode="External"/><Relationship Id="rId1" Type="http://schemas.openxmlformats.org/officeDocument/2006/relationships/numbering" Target="numbering.xml"/><Relationship Id="rId6" Type="http://schemas.openxmlformats.org/officeDocument/2006/relationships/hyperlink" Target="http://www.aaup.org/AAUP/comm/rep/finexg.htm" TargetMode="External"/><Relationship Id="rId11" Type="http://schemas.openxmlformats.org/officeDocument/2006/relationships/hyperlink" Target="http://www.aaup.org/AAUP/pubsres/policydocs/contents/RIR.htm" TargetMode="External"/><Relationship Id="rId24" Type="http://schemas.openxmlformats.org/officeDocument/2006/relationships/hyperlink" Target="http://www.aaup.org/AAUP/comm/rep/finexg.htm" TargetMode="External"/><Relationship Id="rId32" Type="http://schemas.openxmlformats.org/officeDocument/2006/relationships/fontTable" Target="fontTable.xml"/><Relationship Id="rId5" Type="http://schemas.openxmlformats.org/officeDocument/2006/relationships/hyperlink" Target="http://www.aaup.org/AAUP/comm/rep/finexg.htm" TargetMode="External"/><Relationship Id="rId15" Type="http://schemas.openxmlformats.org/officeDocument/2006/relationships/hyperlink" Target="http://www.aaup.org/AAUP/comm/rep/finexg.htm" TargetMode="External"/><Relationship Id="rId23" Type="http://schemas.openxmlformats.org/officeDocument/2006/relationships/hyperlink" Target="http://www.aaup.org/AAUP/comm/rep/finexg.htm" TargetMode="External"/><Relationship Id="rId28" Type="http://schemas.openxmlformats.org/officeDocument/2006/relationships/hyperlink" Target="http://www.aaup.org/AAUP/comm/rep/finexg.htm" TargetMode="External"/><Relationship Id="rId10" Type="http://schemas.openxmlformats.org/officeDocument/2006/relationships/hyperlink" Target="http://www.aaup.org/AAUP/pubsres/policydocs/contents/endorsersalpha.htm" TargetMode="External"/><Relationship Id="rId19" Type="http://schemas.openxmlformats.org/officeDocument/2006/relationships/hyperlink" Target="http://www.aaup.org/AAUP/comm/rep/finexg.htm" TargetMode="External"/><Relationship Id="rId31" Type="http://schemas.openxmlformats.org/officeDocument/2006/relationships/hyperlink" Target="http://www.aaup.org/AAUP/comm/rep/finexg.htm" TargetMode="External"/><Relationship Id="rId4" Type="http://schemas.openxmlformats.org/officeDocument/2006/relationships/webSettings" Target="webSettings.xml"/><Relationship Id="rId9" Type="http://schemas.openxmlformats.org/officeDocument/2006/relationships/hyperlink" Target="http://www.aaup.org/AAUP/comm/rep/finexg.htm" TargetMode="External"/><Relationship Id="rId14" Type="http://schemas.openxmlformats.org/officeDocument/2006/relationships/hyperlink" Target="http://www.aaup.org/AAUP/comm/rep/finexg.htm" TargetMode="External"/><Relationship Id="rId22" Type="http://schemas.openxmlformats.org/officeDocument/2006/relationships/hyperlink" Target="http://www.aaup.org/AAUP/comm/rep/finexg.htm" TargetMode="External"/><Relationship Id="rId27" Type="http://schemas.openxmlformats.org/officeDocument/2006/relationships/hyperlink" Target="http://www.aaup.org/AAUP/comm/rep/finexg.htm" TargetMode="External"/><Relationship Id="rId30" Type="http://schemas.openxmlformats.org/officeDocument/2006/relationships/hyperlink" Target="http://www.aaup.org/AAUP/comm/rep/finexg.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7673</Words>
  <Characters>43738</Characters>
  <Application>Microsoft Office Word</Application>
  <DocSecurity>0</DocSecurity>
  <Lines>364</Lines>
  <Paragraphs>102</Paragraphs>
  <ScaleCrop>false</ScaleCrop>
  <Company>Arkansas State University</Company>
  <LinksUpToDate>false</LinksUpToDate>
  <CharactersWithSpaces>51309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BEVERLY BOALS</dc:creator>
  <cp:keywords/>
  <dc:description/>
  <cp:lastModifiedBy>BEVERLY BOALS</cp:lastModifiedBy>
  <cp:revision>1</cp:revision>
  <dcterms:created xsi:type="dcterms:W3CDTF">2010-01-27T14:20:00Z</dcterms:created>
  <dcterms:modified xsi:type="dcterms:W3CDTF">2010-01-27T14:20:00Z</dcterms:modified>
</cp:coreProperties>
</file>