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48" w:rsidRDefault="00DA0048" w:rsidP="00DA0048">
      <w:pPr>
        <w:rPr>
          <w:rFonts w:asciiTheme="minorHAnsi" w:hAnsiTheme="minorHAnsi" w:cstheme="minorBidi"/>
          <w:color w:val="1F497D" w:themeColor="dark2"/>
          <w:sz w:val="22"/>
          <w:szCs w:val="22"/>
        </w:rPr>
      </w:pPr>
      <w:bookmarkStart w:id="0" w:name="_GoBack"/>
      <w:bookmarkEnd w:id="0"/>
    </w:p>
    <w:p w:rsidR="00DA0048" w:rsidRDefault="00DA0048" w:rsidP="00DA0048">
      <w:pPr>
        <w:rPr>
          <w:rFonts w:asciiTheme="minorHAnsi" w:hAnsiTheme="minorHAnsi" w:cstheme="minorBidi"/>
          <w:color w:val="1F497D" w:themeColor="dark2"/>
          <w:sz w:val="22"/>
          <w:szCs w:val="22"/>
        </w:rPr>
      </w:pPr>
    </w:p>
    <w:p w:rsidR="00DA0048" w:rsidRDefault="00DA0048" w:rsidP="00DA004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Dan Howard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February 03, 2011 5:21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Beverly </w:t>
      </w:r>
      <w:proofErr w:type="spellStart"/>
      <w:r>
        <w:rPr>
          <w:rFonts w:ascii="Tahoma" w:eastAsia="Times New Roman" w:hAnsi="Tahoma" w:cs="Tahoma"/>
          <w:sz w:val="20"/>
          <w:szCs w:val="20"/>
        </w:rPr>
        <w:t>Boals</w:t>
      </w:r>
      <w:proofErr w:type="spellEnd"/>
      <w:r>
        <w:rPr>
          <w:rFonts w:ascii="Tahoma" w:eastAsia="Times New Roman" w:hAnsi="Tahoma" w:cs="Tahoma"/>
          <w:sz w:val="20"/>
          <w:szCs w:val="20"/>
        </w:rPr>
        <w:t xml:space="preserve"> Gilbert</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Glen Jones; LYNITA M COOKSEY; THOMAS A. MOORE; </w:t>
      </w:r>
      <w:proofErr w:type="spellStart"/>
      <w:r>
        <w:rPr>
          <w:rFonts w:ascii="Tahoma" w:eastAsia="Times New Roman" w:hAnsi="Tahoma" w:cs="Tahoma"/>
          <w:sz w:val="20"/>
          <w:szCs w:val="20"/>
        </w:rPr>
        <w:t>Tugrul</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Polat</w:t>
      </w:r>
      <w:proofErr w:type="spellEnd"/>
      <w:r>
        <w:rPr>
          <w:rFonts w:ascii="Tahoma" w:eastAsia="Times New Roman" w:hAnsi="Tahoma" w:cs="Tahoma"/>
          <w:sz w:val="20"/>
          <w:szCs w:val="20"/>
        </w:rPr>
        <w:t>; Nicholas R. Taggart; SUSAN HANRAHAN; DONNA MCMILLIN; Ed Kremers; Rick Stripling</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Faculty Senate Questions and Responses; February 3, 2011</w:t>
      </w:r>
    </w:p>
    <w:p w:rsidR="00DA0048" w:rsidRDefault="00DA0048" w:rsidP="00DA0048"/>
    <w:p w:rsidR="00DA0048" w:rsidRDefault="00DA0048" w:rsidP="00DA0048">
      <w:pPr>
        <w:rPr>
          <w:rFonts w:ascii="Calibri" w:hAnsi="Calibri" w:cs="Calibri"/>
          <w:color w:val="1F497D"/>
          <w:sz w:val="22"/>
          <w:szCs w:val="22"/>
        </w:rPr>
      </w:pPr>
      <w:r>
        <w:rPr>
          <w:rFonts w:ascii="Calibri" w:hAnsi="Calibri" w:cs="Calibri"/>
          <w:color w:val="1F497D"/>
          <w:sz w:val="22"/>
          <w:szCs w:val="22"/>
        </w:rPr>
        <w:t>Dear Beverly: Thank you so very much for bringing these matters to my attention so that I can provide you and our colleagues on the Faculty Senate with my best faith effort at providing valid and reliable information to overcome some apparent misunderstandings. Please find below my responses to the questions/statements that have been brought to my attention. For convenience and clarity, I have repeated the questions/statements that were brought to my attention. Please feel encouraged to share this information with whomever you deem appropriate.</w:t>
      </w:r>
    </w:p>
    <w:p w:rsidR="00DA0048" w:rsidRDefault="00DA0048" w:rsidP="00DA0048">
      <w:pPr>
        <w:rPr>
          <w:rFonts w:ascii="Calibri" w:hAnsi="Calibri" w:cs="Calibri"/>
          <w:color w:val="1F497D"/>
          <w:sz w:val="22"/>
          <w:szCs w:val="22"/>
        </w:rPr>
      </w:pPr>
    </w:p>
    <w:p w:rsidR="00DA0048" w:rsidRDefault="00DA0048" w:rsidP="00DA0048">
      <w:pPr>
        <w:pStyle w:val="ListParagraph"/>
        <w:numPr>
          <w:ilvl w:val="0"/>
          <w:numId w:val="1"/>
        </w:numPr>
        <w:rPr>
          <w:b/>
          <w:bCs/>
          <w:color w:val="1F497D"/>
        </w:rPr>
      </w:pPr>
      <w:r>
        <w:rPr>
          <w:b/>
          <w:bCs/>
        </w:rPr>
        <w:t>We have two departments who have not qualified for accreditation and more to come because the “leaders” have cut funding and others feel they may be next to lose long</w:t>
      </w:r>
      <w:r>
        <w:rPr>
          <w:b/>
          <w:bCs/>
          <w:color w:val="1F497D"/>
        </w:rPr>
        <w:t>-</w:t>
      </w:r>
      <w:r>
        <w:rPr>
          <w:b/>
          <w:bCs/>
        </w:rPr>
        <w:t>standing accreditation.</w:t>
      </w:r>
    </w:p>
    <w:p w:rsidR="00DA0048" w:rsidRDefault="00DA0048" w:rsidP="00DA0048">
      <w:pPr>
        <w:rPr>
          <w:rFonts w:ascii="Calibri" w:hAnsi="Calibri" w:cs="Calibri"/>
          <w:color w:val="1F497D"/>
          <w:sz w:val="22"/>
          <w:szCs w:val="22"/>
        </w:rPr>
      </w:pPr>
      <w:r>
        <w:rPr>
          <w:rFonts w:ascii="Calibri" w:hAnsi="Calibri" w:cs="Calibri"/>
          <w:b/>
          <w:bCs/>
          <w:i/>
          <w:iCs/>
          <w:color w:val="1F497D"/>
          <w:sz w:val="22"/>
          <w:szCs w:val="22"/>
          <w:u w:val="single"/>
        </w:rPr>
        <w:t>Response</w:t>
      </w:r>
      <w:r>
        <w:rPr>
          <w:rFonts w:ascii="Calibri" w:hAnsi="Calibri" w:cs="Calibri"/>
          <w:b/>
          <w:bCs/>
          <w:i/>
          <w:iCs/>
          <w:color w:val="1F497D"/>
          <w:sz w:val="22"/>
          <w:szCs w:val="22"/>
        </w:rPr>
        <w:t>:</w:t>
      </w:r>
      <w:r>
        <w:rPr>
          <w:rFonts w:ascii="Calibri" w:hAnsi="Calibri" w:cs="Calibri"/>
          <w:color w:val="1F497D"/>
          <w:sz w:val="22"/>
          <w:szCs w:val="22"/>
        </w:rPr>
        <w:t xml:space="preserve"> I am unaware of any “cuts to funding” to support accreditation and I most certainly did not recommend or approve of any. Similarly, I am unaware of any accreditation that ASU has earned that is in jeopardy of being lost. It is my understanding that KAIT mistakenly stated that ASU lost its accreditation by CSWE and a representative of ASU (i.e., Tom Moore) responded to KAIT providing them with factual information about this accreditation.  ASU holds accreditation by CSWE for its BSW and this accreditation recently was affirmed. ASU is seeking CSWE accreditation for the MSW and this process is unfolding.</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I would like to be informed immediately as to any area in which accreditation is in danger of being revoked or otherwise lost. Please be advised that since my initial interview for the position of Vice Chancellor for Academic Affairs and Research, I have been on the public record as stating that I am a strong and unwavering advocate for regional and specialized accreditation and have encouraged (not discouraged) the flow of resources into creating conditions necessary for ASU to maintain regional accreditation though HLC and add to specialized accreditation. For example, in my goals and objectives for this year that I submitted to President Potts, I made the following statement in one section:</w:t>
      </w:r>
    </w:p>
    <w:p w:rsidR="00DA0048" w:rsidRDefault="00DA0048" w:rsidP="00DA0048">
      <w:pPr>
        <w:rPr>
          <w:rFonts w:ascii="Calibri" w:hAnsi="Calibri" w:cs="Calibri"/>
          <w:color w:val="1F497D"/>
          <w:sz w:val="22"/>
          <w:szCs w:val="22"/>
        </w:rPr>
      </w:pPr>
    </w:p>
    <w:p w:rsidR="00DA0048" w:rsidRDefault="00DA0048" w:rsidP="00DA0048">
      <w:pPr>
        <w:ind w:left="360"/>
        <w:rPr>
          <w:i/>
          <w:iCs/>
        </w:rPr>
      </w:pPr>
      <w:r>
        <w:rPr>
          <w:i/>
          <w:iCs/>
          <w:color w:val="0070C0"/>
        </w:rPr>
        <w:t xml:space="preserve">Improving academic program quality is an important goal for all academic institutions of higher education and is a fundamental requirement  for obtaining and retaining regional (i.e., institution-wide) accreditation by bodies such as The Higher Learning Commission of the North Central Association of Colleges and Universities (HLC) as well as for specialized accreditation bodies such as the Accreditation Board for Engineering and Technology (ABET), Association to Advance Collegiate Schools of Business (AACSB), and National Council for Accreditation of Teacher Education (NCATE). In the United States, accreditation of academic institutions and programs occurs through a peer review process by a recognized professional organization operating under the authorization of The National Advisory Committee on Institutional Quality and Integrity (NACIQI). In addition to the need for continuous quality improvement of academic programs to fulfill accrediting requirements, institutions of higher education have a fundamental need to do this as a measure of </w:t>
      </w:r>
      <w:r>
        <w:rPr>
          <w:i/>
          <w:iCs/>
          <w:color w:val="0070C0"/>
        </w:rPr>
        <w:lastRenderedPageBreak/>
        <w:t>accountability for their students, governance boards, and (in the case of public institutions of higher education) government officials and taxpayers. Moreover, the process of preparing for initial accreditation or reaffirmation of existing accreditation almost universally causes individuals engaged in this process to grow and develop professionally and academic programs/institutions to improve substantially.</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Among other things, I have advocated for the College of Engineering to seek separate ABET accreditation for the new discrete engineering programs in Mechanical Engineering, Electrical Engineering, and Civil Engineering and have caused resources to move into this area to help it achieve ABET accreditation; for the department of Computer Science to regain ABET accreditation (that had lapsed before my arrival in January 2008); to seek accreditation for the English as a Second Language (ESL) program offered though The International Center for English (TICE) through CEA; to seek specialized accreditation  for the B.S. in Nutrition Science with a major in dietetics through CADE; to seek COSMA accreditation for the master’s degree in  Sports Management; and to seek NAST accreditation for the baccalaureate program in Theatre. I have encouraged all areas that have financial needs to support accreditation to bring these needs forward through the budgeting process.  Typically, such needs are addressed (to the greatest extent possible) immediately after legal obligations and safety and security obligations.</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 xml:space="preserve">ASU is gearing up actively to prepare for the self-study associated with reaffirmation of HLC accreditation and funds have been earmarked to support this effort. For example, ASU purchased </w:t>
      </w:r>
      <w:proofErr w:type="spellStart"/>
      <w:r>
        <w:rPr>
          <w:rFonts w:ascii="Calibri" w:hAnsi="Calibri" w:cs="Calibri"/>
          <w:color w:val="1F497D"/>
          <w:sz w:val="22"/>
          <w:szCs w:val="22"/>
        </w:rPr>
        <w:t>Trac-Dat</w:t>
      </w:r>
      <w:proofErr w:type="spellEnd"/>
      <w:r>
        <w:rPr>
          <w:rFonts w:ascii="Calibri" w:hAnsi="Calibri" w:cs="Calibri"/>
          <w:color w:val="1F497D"/>
          <w:sz w:val="22"/>
          <w:szCs w:val="22"/>
        </w:rPr>
        <w:t xml:space="preserve"> software to facilitate assessment and added a position in assessment to provide a greater institutional focus in assessment. Additionally, ASU will be retaining an architectural firm with special expertise in campus facilities master planning to help ASU develop a new and comprehensive campus facilities master plan that includes, among other things, a landscaping plan. Not only will this master plan provide a heuristic for future campus development, but it will provide a basis to help with raising philanthropic support for construction-related named gift opportunities. An array of other campus plans are under development in association with this accreditation including, but not limited to, the Strategic Plan, Enrollment Management Plan, Safety and Security Plan, Emergency Preparedness Plan, and the Information Technology Plan.</w:t>
      </w:r>
    </w:p>
    <w:p w:rsidR="00DA0048" w:rsidRDefault="00DA0048" w:rsidP="00DA0048">
      <w:pPr>
        <w:rPr>
          <w:rFonts w:ascii="Calibri" w:hAnsi="Calibri" w:cs="Calibri"/>
          <w:color w:val="1F497D"/>
          <w:sz w:val="22"/>
          <w:szCs w:val="22"/>
        </w:rPr>
      </w:pPr>
    </w:p>
    <w:p w:rsidR="00DA0048" w:rsidRDefault="00DA0048" w:rsidP="00DA0048">
      <w:pPr>
        <w:spacing w:after="240"/>
        <w:ind w:left="360"/>
        <w:rPr>
          <w:b/>
          <w:bCs/>
          <w:color w:val="1F497D"/>
        </w:rPr>
      </w:pPr>
      <w:r>
        <w:rPr>
          <w:rFonts w:ascii="Calibri" w:hAnsi="Calibri" w:cs="Calibri"/>
          <w:b/>
          <w:bCs/>
          <w:color w:val="1F497D"/>
        </w:rPr>
        <w:t>2</w:t>
      </w:r>
      <w:r>
        <w:rPr>
          <w:b/>
          <w:bCs/>
          <w:color w:val="1F497D"/>
        </w:rPr>
        <w:t>.</w:t>
      </w:r>
      <w:r>
        <w:rPr>
          <w:rFonts w:ascii="Calibri" w:hAnsi="Calibri" w:cs="Calibri"/>
          <w:b/>
          <w:bCs/>
          <w:sz w:val="22"/>
          <w:szCs w:val="22"/>
        </w:rPr>
        <w:t xml:space="preserve"> Question about low standards for ESL program and not even following NCAA rules required for foreign athletes</w:t>
      </w:r>
      <w:r>
        <w:rPr>
          <w:rFonts w:ascii="Calibri" w:hAnsi="Calibri" w:cs="Calibri"/>
          <w:b/>
          <w:bCs/>
          <w:color w:val="1F497D"/>
          <w:sz w:val="22"/>
          <w:szCs w:val="22"/>
        </w:rPr>
        <w:t>?</w:t>
      </w:r>
    </w:p>
    <w:p w:rsidR="00DA0048" w:rsidRDefault="00DA0048" w:rsidP="00DA0048">
      <w:pPr>
        <w:rPr>
          <w:rFonts w:ascii="Calibri" w:hAnsi="Calibri" w:cs="Calibri"/>
          <w:color w:val="1F497D"/>
          <w:sz w:val="22"/>
          <w:szCs w:val="22"/>
        </w:rPr>
      </w:pPr>
      <w:r>
        <w:rPr>
          <w:rFonts w:ascii="Calibri" w:hAnsi="Calibri" w:cs="Calibri"/>
          <w:b/>
          <w:bCs/>
          <w:i/>
          <w:iCs/>
          <w:color w:val="1F497D"/>
          <w:sz w:val="22"/>
          <w:szCs w:val="22"/>
          <w:u w:val="single"/>
        </w:rPr>
        <w:t>Response</w:t>
      </w:r>
      <w:r>
        <w:rPr>
          <w:rFonts w:ascii="Calibri" w:hAnsi="Calibri" w:cs="Calibri"/>
          <w:b/>
          <w:bCs/>
          <w:color w:val="1F497D"/>
          <w:sz w:val="22"/>
          <w:szCs w:val="22"/>
        </w:rPr>
        <w:t xml:space="preserve">: </w:t>
      </w:r>
      <w:r>
        <w:rPr>
          <w:rFonts w:ascii="Calibri" w:hAnsi="Calibri" w:cs="Calibri"/>
          <w:color w:val="1F497D"/>
          <w:sz w:val="22"/>
          <w:szCs w:val="22"/>
        </w:rPr>
        <w:t xml:space="preserve">The </w:t>
      </w:r>
      <w:proofErr w:type="gramStart"/>
      <w:r>
        <w:rPr>
          <w:rFonts w:ascii="Calibri" w:hAnsi="Calibri" w:cs="Calibri"/>
          <w:color w:val="1F497D"/>
          <w:sz w:val="22"/>
          <w:szCs w:val="22"/>
        </w:rPr>
        <w:t>university</w:t>
      </w:r>
      <w:proofErr w:type="gramEnd"/>
      <w:r>
        <w:rPr>
          <w:rFonts w:ascii="Calibri" w:hAnsi="Calibri" w:cs="Calibri"/>
          <w:color w:val="1F497D"/>
          <w:sz w:val="22"/>
          <w:szCs w:val="22"/>
        </w:rPr>
        <w:t xml:space="preserve"> is committed to meeting the letter and spirit of NCAA rules and regulations in all relevant areas including ASU’s English as a Second Language (ESL) program that is offered through The International Center for English (TICE), under the leadership of Nick Taggart. I am absolutely unaware of any NCAA non-compliance matters at this time institutionally (including any related to ESL and international athletes). Moreover, the ESL program does not, by any measure, have low standards. </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 xml:space="preserve">The ESL program consists of a foundations program (commonly referred to as a zero beginner) followed by 5 competency levels of increasing difficulty. The ESL program is a candidate for Accreditation by the Commission on English Language Program Accreditation (CEA) and has applied to become a candidate for the Accrediting Council for Continuing Education Training (ACCET). The CEA self-study is nearing completion and will be submitted soon after vetting by a top-rate consultant specializing in accreditation and recognized positively for this expertise by CEA. In order to qualify to move from the ESL program, international students must meet one of three criteria. The first is to be a citizen from a country in which English is the official language as determined by the U.S. Government (e.g. Australia, Canada, South </w:t>
      </w:r>
      <w:r>
        <w:rPr>
          <w:rFonts w:ascii="Calibri" w:hAnsi="Calibri" w:cs="Calibri"/>
          <w:color w:val="1F497D"/>
          <w:sz w:val="22"/>
          <w:szCs w:val="22"/>
        </w:rPr>
        <w:lastRenderedPageBreak/>
        <w:t xml:space="preserve">Africa, or England). The second is to obtain a designated score on an internationally recognized test (e.g., TOEFL, IELTS, or the Pearson Test of English competency). For example, a paper-based TOEFL of 500 provides a score necessary to demonstrate English competency leading into a baccalaureate program while an IELTS score of 6 is necessary to demonstrate English competency leading into a graduate program. Alternatively, students may demonstrate English competency by completing level V of the ESL program; specifically, students entering a baccalaureate program must obtain a grade of B or higher in Level V and students entering a graduate program must obtain an A in Level V. Given the stringency of NCAA regulations and for other good and appropriate reasons, as international students demonstrate minimum English competency by demonstrating an appropriate score or obtaining the requisite grade in Level V of the ESL, they are obligated to take a Bridge Course that, among other things, provides them with additional exposure to gaining English competency. TICE offers free tutoring for any international student who is having difficulty in any aspect of English and has a well-established process encouraging faculty referrals of students needing assistance with English. </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Data supplied by Dr. Kathryn Jones from the Office of Institutional Research shows that the average GPA of international students at the undergraduate level vs. American students is consistently higher. Please see the sample table below.</w:t>
      </w:r>
    </w:p>
    <w:p w:rsidR="00DA0048" w:rsidRDefault="00DA0048" w:rsidP="00DA0048">
      <w:pPr>
        <w:rPr>
          <w:rFonts w:ascii="Calibri" w:hAnsi="Calibri" w:cs="Calibri"/>
          <w:color w:val="1F497D"/>
          <w:sz w:val="22"/>
          <w:szCs w:val="22"/>
        </w:rPr>
      </w:pPr>
    </w:p>
    <w:tbl>
      <w:tblPr>
        <w:tblW w:w="4200" w:type="dxa"/>
        <w:tblInd w:w="-23" w:type="dxa"/>
        <w:tblCellMar>
          <w:left w:w="0" w:type="dxa"/>
          <w:right w:w="0" w:type="dxa"/>
        </w:tblCellMar>
        <w:tblLook w:val="04A0" w:firstRow="1" w:lastRow="0" w:firstColumn="1" w:lastColumn="0" w:noHBand="0" w:noVBand="1"/>
      </w:tblPr>
      <w:tblGrid>
        <w:gridCol w:w="1380"/>
        <w:gridCol w:w="960"/>
        <w:gridCol w:w="960"/>
        <w:gridCol w:w="960"/>
      </w:tblGrid>
      <w:tr w:rsidR="00DA0048" w:rsidTr="00DA0048">
        <w:trPr>
          <w:trHeight w:val="300"/>
        </w:trPr>
        <w:tc>
          <w:tcPr>
            <w:tcW w:w="132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 </w:t>
            </w:r>
          </w:p>
        </w:tc>
        <w:tc>
          <w:tcPr>
            <w:tcW w:w="96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Fall</w:t>
            </w:r>
          </w:p>
        </w:tc>
        <w:tc>
          <w:tcPr>
            <w:tcW w:w="96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Fall</w:t>
            </w:r>
          </w:p>
        </w:tc>
        <w:tc>
          <w:tcPr>
            <w:tcW w:w="96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Fall</w:t>
            </w:r>
          </w:p>
        </w:tc>
      </w:tr>
      <w:tr w:rsidR="00DA0048" w:rsidTr="00DA0048">
        <w:trPr>
          <w:trHeight w:val="300"/>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2008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2009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center"/>
              <w:rPr>
                <w:rFonts w:ascii="Calibri" w:hAnsi="Calibri" w:cs="Calibri"/>
                <w:b/>
                <w:bCs/>
                <w:color w:val="000000"/>
                <w:sz w:val="22"/>
                <w:szCs w:val="22"/>
              </w:rPr>
            </w:pPr>
            <w:r>
              <w:rPr>
                <w:rFonts w:ascii="Calibri" w:hAnsi="Calibri" w:cs="Calibri"/>
                <w:b/>
                <w:bCs/>
                <w:color w:val="000000"/>
                <w:sz w:val="22"/>
                <w:szCs w:val="22"/>
              </w:rPr>
              <w:t>2010</w:t>
            </w:r>
          </w:p>
        </w:tc>
      </w:tr>
      <w:tr w:rsidR="00DA0048" w:rsidTr="00DA0048">
        <w:trPr>
          <w:trHeight w:val="300"/>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rPr>
                <w:rFonts w:ascii="Calibri" w:hAnsi="Calibri" w:cs="Calibri"/>
                <w:color w:val="000000"/>
                <w:sz w:val="22"/>
                <w:szCs w:val="22"/>
              </w:rPr>
            </w:pPr>
            <w:r>
              <w:rPr>
                <w:rFonts w:ascii="Calibri" w:hAnsi="Calibri" w:cs="Calibri"/>
                <w:color w:val="000000"/>
                <w:sz w:val="22"/>
                <w:szCs w:val="22"/>
              </w:rPr>
              <w:t>American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2.98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2.97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2.98</w:t>
            </w:r>
          </w:p>
        </w:tc>
      </w:tr>
      <w:tr w:rsidR="00DA0048" w:rsidTr="00DA0048">
        <w:trPr>
          <w:trHeight w:val="300"/>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rPr>
                <w:rFonts w:ascii="Calibri" w:hAnsi="Calibri" w:cs="Calibri"/>
                <w:color w:val="000000"/>
                <w:sz w:val="22"/>
                <w:szCs w:val="22"/>
              </w:rPr>
            </w:pPr>
            <w:r>
              <w:rPr>
                <w:rFonts w:ascii="Calibri" w:hAnsi="Calibri" w:cs="Calibri"/>
                <w:color w:val="000000"/>
                <w:sz w:val="22"/>
                <w:szCs w:val="22"/>
              </w:rPr>
              <w:t>International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3.12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3.17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0048" w:rsidRDefault="00DA0048">
            <w:pPr>
              <w:jc w:val="right"/>
              <w:rPr>
                <w:rFonts w:ascii="Calibri" w:hAnsi="Calibri" w:cs="Calibri"/>
                <w:color w:val="000000"/>
                <w:sz w:val="22"/>
                <w:szCs w:val="22"/>
              </w:rPr>
            </w:pPr>
            <w:r>
              <w:rPr>
                <w:rFonts w:ascii="Calibri" w:hAnsi="Calibri" w:cs="Calibri"/>
                <w:color w:val="000000"/>
                <w:sz w:val="22"/>
                <w:szCs w:val="22"/>
              </w:rPr>
              <w:t>3.11</w:t>
            </w:r>
          </w:p>
        </w:tc>
      </w:tr>
    </w:tbl>
    <w:p w:rsidR="00DA0048" w:rsidRDefault="00DA0048" w:rsidP="00DA0048">
      <w:pPr>
        <w:rPr>
          <w:b/>
          <w:bCs/>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 xml:space="preserve">Clearly, the above data suggest that the ESL program is helping international students to meet English competency requirements for success at the undergraduate level of study. If anyone has any questions about the rigor or the quality of the ESL Program I encourage them to speak with Nick Taggart, </w:t>
      </w:r>
      <w:proofErr w:type="spellStart"/>
      <w:r>
        <w:rPr>
          <w:rFonts w:ascii="Calibri" w:hAnsi="Calibri" w:cs="Calibri"/>
          <w:color w:val="1F497D"/>
          <w:sz w:val="22"/>
          <w:szCs w:val="22"/>
        </w:rPr>
        <w:t>Tugrul</w:t>
      </w:r>
      <w:proofErr w:type="spellEnd"/>
      <w:r>
        <w:rPr>
          <w:rFonts w:ascii="Calibri" w:hAnsi="Calibri" w:cs="Calibri"/>
          <w:color w:val="1F497D"/>
          <w:sz w:val="22"/>
          <w:szCs w:val="22"/>
        </w:rPr>
        <w:t xml:space="preserve"> </w:t>
      </w:r>
      <w:proofErr w:type="spellStart"/>
      <w:r>
        <w:rPr>
          <w:rFonts w:ascii="Calibri" w:hAnsi="Calibri" w:cs="Calibri"/>
          <w:color w:val="1F497D"/>
          <w:sz w:val="22"/>
          <w:szCs w:val="22"/>
        </w:rPr>
        <w:t>Polat</w:t>
      </w:r>
      <w:proofErr w:type="spellEnd"/>
      <w:r>
        <w:rPr>
          <w:rFonts w:ascii="Calibri" w:hAnsi="Calibri" w:cs="Calibri"/>
          <w:color w:val="1F497D"/>
          <w:sz w:val="22"/>
          <w:szCs w:val="22"/>
        </w:rPr>
        <w:t xml:space="preserve">, or </w:t>
      </w:r>
      <w:proofErr w:type="gramStart"/>
      <w:r>
        <w:rPr>
          <w:rFonts w:ascii="Calibri" w:hAnsi="Calibri" w:cs="Calibri"/>
          <w:color w:val="1F497D"/>
          <w:sz w:val="22"/>
          <w:szCs w:val="22"/>
        </w:rPr>
        <w:t>me</w:t>
      </w:r>
      <w:proofErr w:type="gramEnd"/>
      <w:r>
        <w:rPr>
          <w:rFonts w:ascii="Calibri" w:hAnsi="Calibri" w:cs="Calibri"/>
          <w:color w:val="1F497D"/>
          <w:sz w:val="22"/>
          <w:szCs w:val="22"/>
        </w:rPr>
        <w:t xml:space="preserve"> and I ensure you that any deficiencies that may exist for which we are currently unaware will be addressed with a high sense of priority.</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p>
    <w:p w:rsidR="00DA0048" w:rsidRDefault="00DA0048" w:rsidP="00DA0048">
      <w:pPr>
        <w:pStyle w:val="ListParagraph"/>
        <w:numPr>
          <w:ilvl w:val="0"/>
          <w:numId w:val="2"/>
        </w:numPr>
        <w:rPr>
          <w:b/>
          <w:bCs/>
          <w:color w:val="1F497D"/>
        </w:rPr>
      </w:pPr>
      <w:r>
        <w:rPr>
          <w:b/>
          <w:bCs/>
        </w:rPr>
        <w:t>7% increase in the athletic budget.  </w:t>
      </w:r>
    </w:p>
    <w:p w:rsidR="00DA0048" w:rsidRDefault="00DA0048" w:rsidP="00DA0048">
      <w:pPr>
        <w:rPr>
          <w:rFonts w:ascii="Calibri" w:hAnsi="Calibri" w:cs="Calibri"/>
          <w:color w:val="1F497D"/>
          <w:sz w:val="22"/>
          <w:szCs w:val="22"/>
        </w:rPr>
      </w:pPr>
      <w:r>
        <w:rPr>
          <w:rFonts w:ascii="Calibri" w:hAnsi="Calibri" w:cs="Calibri"/>
          <w:b/>
          <w:bCs/>
          <w:i/>
          <w:iCs/>
          <w:color w:val="1F497D"/>
          <w:sz w:val="22"/>
          <w:szCs w:val="22"/>
          <w:u w:val="single"/>
        </w:rPr>
        <w:t>Response</w:t>
      </w:r>
      <w:r>
        <w:rPr>
          <w:rFonts w:ascii="Calibri" w:hAnsi="Calibri" w:cs="Calibri"/>
          <w:b/>
          <w:bCs/>
          <w:i/>
          <w:iCs/>
          <w:color w:val="1F497D"/>
          <w:sz w:val="22"/>
          <w:szCs w:val="22"/>
        </w:rPr>
        <w:t>:</w:t>
      </w:r>
      <w:r>
        <w:rPr>
          <w:rFonts w:ascii="Calibri" w:hAnsi="Calibri" w:cs="Calibri"/>
          <w:i/>
          <w:iCs/>
          <w:color w:val="1F497D"/>
          <w:sz w:val="22"/>
          <w:szCs w:val="22"/>
        </w:rPr>
        <w:t xml:space="preserve"> </w:t>
      </w:r>
      <w:r>
        <w:rPr>
          <w:rFonts w:ascii="Calibri" w:hAnsi="Calibri" w:cs="Calibri"/>
          <w:color w:val="1F497D"/>
          <w:sz w:val="22"/>
          <w:szCs w:val="22"/>
        </w:rPr>
        <w:t xml:space="preserve">Regrettably, Financial Affairs has not been able to determine where the 7% increase in the Athletic Budget referenced above may have been derived. However, in looking at a comparison </w:t>
      </w:r>
      <w:proofErr w:type="gramStart"/>
      <w:r>
        <w:rPr>
          <w:rFonts w:ascii="Calibri" w:hAnsi="Calibri" w:cs="Calibri"/>
          <w:color w:val="1F497D"/>
          <w:sz w:val="22"/>
          <w:szCs w:val="22"/>
        </w:rPr>
        <w:t>between the 2009-2010 versus the 2010-2011 operating budget books (which are available on the ASU website)</w:t>
      </w:r>
      <w:proofErr w:type="gramEnd"/>
      <w:r>
        <w:rPr>
          <w:rFonts w:ascii="Calibri" w:hAnsi="Calibri" w:cs="Calibri"/>
          <w:color w:val="1F497D"/>
          <w:sz w:val="22"/>
          <w:szCs w:val="22"/>
        </w:rPr>
        <w:t xml:space="preserve"> the budgeted expenditures for athletics increased 3% overall. This was attributed to mandatory scholarship increases associated with the 4% increase in tuition and associated increases in room and board (athletic scholarships are based on costs of attendance that includes tuition, fees, room and board, and books); the full implementation of the classified pay plan; and a 2% across the board cost of living increase for non-classified employees. All other increases in budgeted athletic funds were not material. If anyone has any related questions, I suggest that they be directed to Donna </w:t>
      </w:r>
      <w:proofErr w:type="spellStart"/>
      <w:r>
        <w:rPr>
          <w:rFonts w:ascii="Calibri" w:hAnsi="Calibri" w:cs="Calibri"/>
          <w:color w:val="1F497D"/>
          <w:sz w:val="22"/>
          <w:szCs w:val="22"/>
        </w:rPr>
        <w:t>McMillin</w:t>
      </w:r>
      <w:proofErr w:type="spellEnd"/>
      <w:r>
        <w:rPr>
          <w:rFonts w:ascii="Calibri" w:hAnsi="Calibri" w:cs="Calibri"/>
          <w:color w:val="1F497D"/>
          <w:sz w:val="22"/>
          <w:szCs w:val="22"/>
        </w:rPr>
        <w:t xml:space="preserve">, assistant vice chancellor for budget planning and development. </w:t>
      </w:r>
    </w:p>
    <w:p w:rsidR="00DA0048" w:rsidRDefault="00DA0048" w:rsidP="00DA0048">
      <w:pPr>
        <w:rPr>
          <w:rFonts w:ascii="Calibri" w:hAnsi="Calibri" w:cs="Calibri"/>
          <w:color w:val="1F497D"/>
          <w:sz w:val="22"/>
          <w:szCs w:val="22"/>
        </w:rPr>
      </w:pPr>
    </w:p>
    <w:p w:rsidR="00DA0048" w:rsidRDefault="00DA0048" w:rsidP="00DA0048">
      <w:pPr>
        <w:pStyle w:val="ListParagraph"/>
        <w:numPr>
          <w:ilvl w:val="0"/>
          <w:numId w:val="2"/>
        </w:numPr>
        <w:spacing w:before="100" w:beforeAutospacing="1" w:after="240"/>
        <w:rPr>
          <w:b/>
          <w:bCs/>
        </w:rPr>
      </w:pPr>
      <w:r>
        <w:rPr>
          <w:b/>
          <w:bCs/>
        </w:rPr>
        <w:t>HEH shares tuition with some other schools,</w:t>
      </w:r>
      <w:r>
        <w:rPr>
          <w:b/>
          <w:bCs/>
          <w:color w:val="1F497D"/>
        </w:rPr>
        <w:t xml:space="preserve"> </w:t>
      </w:r>
      <w:r>
        <w:rPr>
          <w:b/>
          <w:bCs/>
        </w:rPr>
        <w:t>70% to the schools and 30% to HEH while we, ASU, only get 24%.  </w:t>
      </w:r>
    </w:p>
    <w:p w:rsidR="00DA0048" w:rsidRDefault="00DA0048" w:rsidP="00DA0048">
      <w:pPr>
        <w:rPr>
          <w:rFonts w:ascii="Calibri" w:hAnsi="Calibri" w:cs="Calibri"/>
          <w:color w:val="1F497D"/>
          <w:sz w:val="22"/>
          <w:szCs w:val="22"/>
        </w:rPr>
      </w:pPr>
      <w:r>
        <w:rPr>
          <w:rFonts w:ascii="Calibri" w:hAnsi="Calibri" w:cs="Calibri"/>
          <w:b/>
          <w:bCs/>
          <w:i/>
          <w:iCs/>
          <w:color w:val="1F497D"/>
          <w:sz w:val="22"/>
          <w:szCs w:val="22"/>
          <w:u w:val="single"/>
        </w:rPr>
        <w:lastRenderedPageBreak/>
        <w:t>Response</w:t>
      </w:r>
      <w:r>
        <w:rPr>
          <w:rFonts w:ascii="Calibri" w:hAnsi="Calibri" w:cs="Calibri"/>
          <w:b/>
          <w:bCs/>
          <w:i/>
          <w:iCs/>
          <w:color w:val="1F497D"/>
          <w:sz w:val="22"/>
          <w:szCs w:val="22"/>
        </w:rPr>
        <w:t>:</w:t>
      </w:r>
      <w:r>
        <w:rPr>
          <w:rFonts w:ascii="Calibri" w:hAnsi="Calibri" w:cs="Calibri"/>
          <w:i/>
          <w:iCs/>
          <w:color w:val="1F497D"/>
          <w:sz w:val="22"/>
          <w:szCs w:val="22"/>
        </w:rPr>
        <w:t xml:space="preserve"> </w:t>
      </w:r>
      <w:r>
        <w:rPr>
          <w:rFonts w:ascii="Calibri" w:hAnsi="Calibri" w:cs="Calibri"/>
          <w:color w:val="1F497D"/>
          <w:sz w:val="22"/>
          <w:szCs w:val="22"/>
        </w:rPr>
        <w:t xml:space="preserve">Initially, the ASU System entered into a Services Agreement (contract) with Higher Education Holdings, LLC (HEH) on April 8. </w:t>
      </w:r>
      <w:proofErr w:type="gramStart"/>
      <w:r>
        <w:rPr>
          <w:rFonts w:ascii="Calibri" w:hAnsi="Calibri" w:cs="Calibri"/>
          <w:color w:val="1F497D"/>
          <w:sz w:val="22"/>
          <w:szCs w:val="22"/>
        </w:rPr>
        <w:t>2008, that</w:t>
      </w:r>
      <w:proofErr w:type="gramEnd"/>
      <w:r>
        <w:rPr>
          <w:rFonts w:ascii="Calibri" w:hAnsi="Calibri" w:cs="Calibri"/>
          <w:color w:val="1F497D"/>
          <w:sz w:val="22"/>
          <w:szCs w:val="22"/>
        </w:rPr>
        <w:t xml:space="preserve"> has been modified and superseded on a number of occasions. This Agreement is now between the ASU System and Academic Partnerships, LLC (AP) and the distribution of revenue is 70% to AP and 30% to ASU for the ASU-Jonesboro campus. The associated program at ASU-Jonesboro is operated as a self-funded and self-sustaining program (in a similar fashion as the Nurse Anesthetist program and the ESL program). In this case, most of the revenue is directed to faculty salaries (for the development and delivery of master’s level courses in the College of Education associated with 5 master’s degree programs and 6 programs of study); funds to cover operating costs in the Department of Educational Leadership, Curriculum, and Special Education (ELCSE) that houses these degree programs and programs of study; funds to support associated operational costs of the College of Education Dean’s Office; and academic support personnel outside of the College of Education (admissions, registrar’s office, financial aid, student accounts, and information technology) for compensation, workstations, supplies and materials, professional development, and related costs. This program must generate some reserve funds (to cover an unanticipated drop in enrollment and/or to underwrite new academic programs that may be launched). In addition, some associated revenue will </w:t>
      </w:r>
      <w:proofErr w:type="gramStart"/>
      <w:r>
        <w:rPr>
          <w:rFonts w:ascii="Calibri" w:hAnsi="Calibri" w:cs="Calibri"/>
          <w:color w:val="1F497D"/>
          <w:sz w:val="22"/>
          <w:szCs w:val="22"/>
        </w:rPr>
        <w:t>be  used</w:t>
      </w:r>
      <w:proofErr w:type="gramEnd"/>
      <w:r>
        <w:rPr>
          <w:rFonts w:ascii="Calibri" w:hAnsi="Calibri" w:cs="Calibri"/>
          <w:color w:val="1F497D"/>
          <w:sz w:val="22"/>
          <w:szCs w:val="22"/>
        </w:rPr>
        <w:t xml:space="preserve"> to offset the cost of refurbishing the former Jazzman’s Café on Johnson Avenue to create an appropriate workspace for the above-mentioned support staff. At some point if and when the State begins to fund the formula for institutions of higher education, ASUJ will benefit to the extent that participants in the program who are residents of Arkansas will be included in one of the formula elements (currently, approximately 40% of the participants in this distance learning program are Arkansans).</w:t>
      </w:r>
    </w:p>
    <w:p w:rsidR="00DA0048" w:rsidRDefault="00DA0048" w:rsidP="00DA0048">
      <w:pPr>
        <w:rPr>
          <w:rFonts w:ascii="Calibri" w:hAnsi="Calibri" w:cs="Calibri"/>
          <w:color w:val="1F497D"/>
          <w:sz w:val="22"/>
          <w:szCs w:val="22"/>
        </w:rPr>
      </w:pPr>
    </w:p>
    <w:p w:rsidR="00DA0048" w:rsidRDefault="00DA0048" w:rsidP="00DA0048">
      <w:pPr>
        <w:pStyle w:val="ListParagraph"/>
        <w:numPr>
          <w:ilvl w:val="0"/>
          <w:numId w:val="2"/>
        </w:numPr>
        <w:rPr>
          <w:color w:val="1F497D"/>
        </w:rPr>
      </w:pPr>
      <w:r>
        <w:rPr>
          <w:b/>
          <w:bCs/>
        </w:rPr>
        <w:t>Three weeks of training required for the professionals in the article.  </w:t>
      </w:r>
      <w:r>
        <w:rPr>
          <w:b/>
          <w:bCs/>
        </w:rPr>
        <w:br/>
      </w:r>
      <w:hyperlink r:id="rId6" w:history="1">
        <w:r>
          <w:rPr>
            <w:rStyle w:val="Hyperlink"/>
          </w:rPr>
          <w:t>http://www.baxterbulletin.com/article/20110129/NEWS01/101290321/Arkansas-State-University-Mountain-Home-bridge-jobs-health-care?odyssey=nav%7Chead</w:t>
        </w:r>
      </w:hyperlink>
    </w:p>
    <w:p w:rsidR="00DA0048" w:rsidRDefault="00DA0048" w:rsidP="00DA0048">
      <w:pPr>
        <w:rPr>
          <w:rFonts w:ascii="Calibri" w:hAnsi="Calibri" w:cs="Calibri"/>
          <w:color w:val="1F497D"/>
          <w:sz w:val="22"/>
          <w:szCs w:val="22"/>
        </w:rPr>
      </w:pPr>
      <w:r>
        <w:rPr>
          <w:rFonts w:ascii="Calibri" w:hAnsi="Calibri" w:cs="Calibri"/>
          <w:b/>
          <w:bCs/>
          <w:i/>
          <w:iCs/>
          <w:color w:val="1F497D"/>
          <w:sz w:val="22"/>
          <w:szCs w:val="22"/>
          <w:u w:val="single"/>
        </w:rPr>
        <w:t>Response</w:t>
      </w:r>
      <w:r>
        <w:rPr>
          <w:rFonts w:ascii="Calibri" w:hAnsi="Calibri" w:cs="Calibri"/>
          <w:b/>
          <w:bCs/>
          <w:i/>
          <w:iCs/>
          <w:color w:val="1F497D"/>
          <w:sz w:val="22"/>
          <w:szCs w:val="22"/>
        </w:rPr>
        <w:t>:</w:t>
      </w:r>
      <w:r>
        <w:rPr>
          <w:rFonts w:ascii="Calibri" w:hAnsi="Calibri" w:cs="Calibri"/>
          <w:i/>
          <w:iCs/>
          <w:color w:val="1F497D"/>
          <w:sz w:val="22"/>
          <w:szCs w:val="22"/>
        </w:rPr>
        <w:t xml:space="preserve"> </w:t>
      </w:r>
      <w:r>
        <w:rPr>
          <w:rFonts w:ascii="Calibri" w:hAnsi="Calibri" w:cs="Calibri"/>
          <w:color w:val="1F497D"/>
          <w:sz w:val="22"/>
          <w:szCs w:val="22"/>
        </w:rPr>
        <w:t xml:space="preserve">ASU-Jonesboro has absolutely nothing to do with the Certified Nursing Assistant (CNA) program offered at ASU-Mountain Home. According to Dr. Pat Bailey, provost at ASUMH, the curriculum for this program is designed by the State Board of Nursing and is delivered on the ASUMH campus. It is offered by a number of community and technical colleges in the state, but not a four-year institution of higher education. The program takes 3-4 weeks of five days per week of intensive study and for which seven undergraduate credit hours are awarded. In order to achieve certification, students who complete successfully this program may sit for the CNA licensing exam. </w:t>
      </w:r>
      <w:proofErr w:type="gramStart"/>
      <w:r>
        <w:rPr>
          <w:rFonts w:ascii="Calibri" w:hAnsi="Calibri" w:cs="Calibri"/>
          <w:color w:val="1F497D"/>
          <w:sz w:val="22"/>
          <w:szCs w:val="22"/>
        </w:rPr>
        <w:t>Many times CNA license holders work in nursing homes.</w:t>
      </w:r>
      <w:proofErr w:type="gramEnd"/>
      <w:r>
        <w:rPr>
          <w:rFonts w:ascii="Calibri" w:hAnsi="Calibri" w:cs="Calibri"/>
          <w:color w:val="1F497D"/>
          <w:sz w:val="22"/>
          <w:szCs w:val="22"/>
        </w:rPr>
        <w:t xml:space="preserve"> Dr. </w:t>
      </w:r>
      <w:proofErr w:type="spellStart"/>
      <w:r>
        <w:rPr>
          <w:rFonts w:ascii="Calibri" w:hAnsi="Calibri" w:cs="Calibri"/>
          <w:color w:val="1F497D"/>
          <w:sz w:val="22"/>
          <w:szCs w:val="22"/>
        </w:rPr>
        <w:t>Hanrahan</w:t>
      </w:r>
      <w:proofErr w:type="spellEnd"/>
      <w:r>
        <w:rPr>
          <w:rFonts w:ascii="Calibri" w:hAnsi="Calibri" w:cs="Calibri"/>
          <w:color w:val="1F497D"/>
          <w:sz w:val="22"/>
          <w:szCs w:val="22"/>
        </w:rPr>
        <w:t xml:space="preserve"> informed me that ASUJ requires all students who seek admission to the Associate of Applied Science in Nursing (AASN), offered by ASUJ at ASUMH, ASUB, and ASUN to hold the CNA as an admission requirement as this program teaches fundamental nursing skills. If anyone needs additional information about the CNA program, I recommend that they follow up with Dr. Pat Bailey at ASUMH.</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Beverly: Thank you for bringing these matters to my attention. I hope that the responses I supplied provide the necessary background and objective information to address these issues fully. Please let me know of any associated follow-up that may be warranted. I appreciate deeply your leadership of the Faculty Senate and of the faculty who give of their time to serve as senators.</w:t>
      </w:r>
    </w:p>
    <w:p w:rsidR="00DA0048" w:rsidRDefault="00DA0048" w:rsidP="00DA0048">
      <w:pPr>
        <w:rPr>
          <w:rFonts w:ascii="Calibri" w:hAnsi="Calibri" w:cs="Calibri"/>
          <w:color w:val="1F497D"/>
          <w:sz w:val="22"/>
          <w:szCs w:val="22"/>
        </w:rPr>
      </w:pPr>
    </w:p>
    <w:p w:rsidR="00DA0048" w:rsidRDefault="00DA0048" w:rsidP="00DA0048">
      <w:pPr>
        <w:rPr>
          <w:rFonts w:ascii="Calibri" w:hAnsi="Calibri" w:cs="Calibri"/>
          <w:color w:val="1F497D"/>
          <w:sz w:val="22"/>
          <w:szCs w:val="22"/>
        </w:rPr>
      </w:pPr>
      <w:r>
        <w:rPr>
          <w:rFonts w:ascii="Calibri" w:hAnsi="Calibri" w:cs="Calibri"/>
          <w:color w:val="1F497D"/>
          <w:sz w:val="22"/>
          <w:szCs w:val="22"/>
        </w:rPr>
        <w:t>Warmest regards,</w:t>
      </w:r>
    </w:p>
    <w:p w:rsidR="00DA0048" w:rsidRDefault="00DA0048" w:rsidP="00DA0048">
      <w:pPr>
        <w:rPr>
          <w:rFonts w:ascii="Calibri" w:hAnsi="Calibri" w:cs="Calibri"/>
          <w:color w:val="1F497D"/>
          <w:sz w:val="22"/>
          <w:szCs w:val="22"/>
        </w:rPr>
      </w:pPr>
      <w:r>
        <w:rPr>
          <w:rFonts w:ascii="Calibri" w:hAnsi="Calibri" w:cs="Calibri"/>
          <w:color w:val="1F497D"/>
          <w:sz w:val="22"/>
          <w:szCs w:val="22"/>
        </w:rPr>
        <w:t>Dan</w:t>
      </w:r>
    </w:p>
    <w:p w:rsidR="007721F9" w:rsidRDefault="007721F9"/>
    <w:sectPr w:rsidR="00772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2795B"/>
    <w:multiLevelType w:val="hybridMultilevel"/>
    <w:tmpl w:val="B160579C"/>
    <w:lvl w:ilvl="0" w:tplc="FC527CA8">
      <w:start w:val="1"/>
      <w:numFmt w:val="decimal"/>
      <w:lvlText w:val="%1."/>
      <w:lvlJc w:val="left"/>
      <w:pPr>
        <w:ind w:left="720" w:hanging="360"/>
      </w:pPr>
      <w:rPr>
        <w:rFonts w:ascii="Calibri" w:hAnsi="Calibri" w:cs="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AEE4905"/>
    <w:multiLevelType w:val="hybridMultilevel"/>
    <w:tmpl w:val="FC5014B8"/>
    <w:lvl w:ilvl="0" w:tplc="36E66242">
      <w:start w:val="3"/>
      <w:numFmt w:val="decimal"/>
      <w:lvlText w:val="%1."/>
      <w:lvlJc w:val="left"/>
      <w:pPr>
        <w:ind w:left="720" w:hanging="360"/>
      </w:pPr>
      <w:rPr>
        <w:rFonts w:ascii="Calibri" w:hAnsi="Calibri" w:cs="Calibri"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48"/>
    <w:rsid w:val="00155990"/>
    <w:rsid w:val="007253CC"/>
    <w:rsid w:val="007721F9"/>
    <w:rsid w:val="00DA0048"/>
    <w:rsid w:val="00F7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048"/>
    <w:rPr>
      <w:color w:val="0000FF"/>
      <w:u w:val="single"/>
    </w:rPr>
  </w:style>
  <w:style w:type="paragraph" w:styleId="ListParagraph">
    <w:name w:val="List Paragraph"/>
    <w:basedOn w:val="Normal"/>
    <w:uiPriority w:val="34"/>
    <w:qFormat/>
    <w:rsid w:val="00DA0048"/>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048"/>
    <w:rPr>
      <w:color w:val="0000FF"/>
      <w:u w:val="single"/>
    </w:rPr>
  </w:style>
  <w:style w:type="paragraph" w:styleId="ListParagraph">
    <w:name w:val="List Paragraph"/>
    <w:basedOn w:val="Normal"/>
    <w:uiPriority w:val="34"/>
    <w:qFormat/>
    <w:rsid w:val="00DA0048"/>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4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xterbulletin.com/article/20110129/NEWS01/101290321/Arkansas-State-University-Mountain-Home-bridge-jobs-health-care?odyssey=nav%7Che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BBOALS</dc:creator>
  <cp:lastModifiedBy>Bigyan.Shrestha</cp:lastModifiedBy>
  <cp:revision>2</cp:revision>
  <dcterms:created xsi:type="dcterms:W3CDTF">2011-02-25T17:15:00Z</dcterms:created>
  <dcterms:modified xsi:type="dcterms:W3CDTF">2011-02-25T17:15:00Z</dcterms:modified>
</cp:coreProperties>
</file>