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2EE3D6F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377F9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4705EA4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B7AB14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B23B7" w14:textId="77777777" w:rsidR="000779C2" w:rsidRDefault="000779C2" w:rsidP="009A68CA"/>
        </w:tc>
      </w:tr>
      <w:tr w:rsidR="000779C2" w14:paraId="4411AAB3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F9E54F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EEC07" w14:textId="77777777" w:rsidR="000779C2" w:rsidRDefault="000779C2" w:rsidP="009A68CA"/>
        </w:tc>
      </w:tr>
    </w:tbl>
    <w:p w14:paraId="74CE6CEA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2E354FAF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E3EBE05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E13E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80CB0AA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9E24458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864D4F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793555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52B572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4AB7E9" w14:textId="77777777" w:rsidR="00AD2FB4" w:rsidRDefault="000E31E3" w:rsidP="007E13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E13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Rodney Carmack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7E37B2" w14:textId="77777777" w:rsidR="00AD2FB4" w:rsidRDefault="00322447" w:rsidP="002503D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4/11/2019</w:t>
                      </w:r>
                    </w:p>
                  </w:tc>
                </w:sdtContent>
              </w:sdt>
            </w:tr>
          </w:tbl>
          <w:p w14:paraId="6ABBEC9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ED9A1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70CF6E" w14:textId="77777777" w:rsidR="00AD2FB4" w:rsidRDefault="000E31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5477983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5477983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0D296B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3D3E7F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34B873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1D90F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3CF3B1" w14:textId="77777777" w:rsidR="00AD2FB4" w:rsidRDefault="000E31E3" w:rsidP="006B4D1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B4D1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5DC364" w14:textId="77777777" w:rsidR="00AD2FB4" w:rsidRDefault="006B4D13" w:rsidP="002503D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4/11/2019</w:t>
                      </w:r>
                    </w:p>
                  </w:tc>
                </w:sdtContent>
              </w:sdt>
            </w:tr>
          </w:tbl>
          <w:p w14:paraId="58504CE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DEA91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A3BBC0" w14:textId="77777777" w:rsidR="00AD2FB4" w:rsidRDefault="000E31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4896609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96609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366693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089512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61E91E0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A52EF4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39015BC" w14:textId="77777777" w:rsidR="00AD2FB4" w:rsidRDefault="000E31E3" w:rsidP="0070331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0331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Eric Sims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4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9EC0B0" w14:textId="77777777" w:rsidR="00AD2FB4" w:rsidRDefault="00703314" w:rsidP="0070331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4/12/2019</w:t>
                      </w:r>
                    </w:p>
                  </w:tc>
                </w:sdtContent>
              </w:sdt>
            </w:tr>
          </w:tbl>
          <w:p w14:paraId="6AB2AB1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4FB838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359AC6D" w14:textId="77777777" w:rsidR="00AD2FB4" w:rsidRDefault="000E31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66824948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682494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38B81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F0BF5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D77E61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1540"/>
            </w:tblGrid>
            <w:tr w:rsidR="00AD2FB4" w14:paraId="750DCE88" w14:textId="77777777" w:rsidTr="0075725E">
              <w:trPr>
                <w:trHeight w:val="113"/>
              </w:trPr>
              <w:tc>
                <w:tcPr>
                  <w:tcW w:w="3495" w:type="dxa"/>
                  <w:vAlign w:val="bottom"/>
                </w:tcPr>
                <w:p w14:paraId="4732FACB" w14:textId="77777777" w:rsidR="00AD2FB4" w:rsidRDefault="000E31E3" w:rsidP="0075725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572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 w:rsidR="007572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Washam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4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40" w:type="dxa"/>
                      <w:vAlign w:val="bottom"/>
                    </w:tcPr>
                    <w:p w14:paraId="09CC1351" w14:textId="77777777" w:rsidR="00AD2FB4" w:rsidRDefault="0075725E" w:rsidP="0075725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April 12, 2019</w:t>
                      </w:r>
                    </w:p>
                  </w:tc>
                </w:sdtContent>
              </w:sdt>
            </w:tr>
          </w:tbl>
          <w:p w14:paraId="2DB93BE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CF0D3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3B05F9" w14:textId="77777777" w:rsidR="00AD2FB4" w:rsidRDefault="000E31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1107075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07075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60F62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53A6D1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0B283C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C5D8803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C2FF49" w14:textId="77777777" w:rsidR="000F2A51" w:rsidRDefault="000E31E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31998611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99861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2C861D2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37A2F2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43C839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72FF2C" w14:textId="77777777" w:rsidR="00AD2FB4" w:rsidRDefault="000E31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385620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85620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B40BF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090DE7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B76EE6C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CA55975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E65CE80" w14:textId="77777777" w:rsidR="006E6FEC" w:rsidRDefault="002503D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Rodney Carmack, </w:t>
          </w:r>
          <w:hyperlink r:id="rId8" w:history="1">
            <w:r w:rsidRPr="00A61C1B">
              <w:rPr>
                <w:rStyle w:val="Hyperlink"/>
                <w:rFonts w:asciiTheme="majorHAnsi" w:hAnsiTheme="majorHAnsi" w:cs="Arial"/>
                <w:sz w:val="20"/>
                <w:szCs w:val="20"/>
              </w:rPr>
              <w:t>rcarmack@astate.edu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870-972-3038</w:t>
          </w:r>
        </w:p>
      </w:sdtContent>
    </w:sdt>
    <w:p w14:paraId="42AFB4A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9B3492E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E0B5EFA" w14:textId="77777777" w:rsidR="002E3FC9" w:rsidRDefault="002503D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Update bulletin to reflect current course requirements for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Bachelor’s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of Science in Accounting degree.</w:t>
          </w:r>
        </w:p>
      </w:sdtContent>
    </w:sdt>
    <w:p w14:paraId="35475A90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D6A1391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97D5F91" w14:textId="77777777" w:rsidR="002E3FC9" w:rsidRDefault="00567D8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</w:t>
          </w:r>
          <w:r w:rsidR="002503D1">
            <w:rPr>
              <w:rFonts w:asciiTheme="majorHAnsi" w:hAnsiTheme="majorHAnsi" w:cs="Arial"/>
              <w:sz w:val="20"/>
              <w:szCs w:val="20"/>
            </w:rPr>
            <w:t>19</w:t>
          </w:r>
        </w:p>
      </w:sdtContent>
    </w:sdt>
    <w:p w14:paraId="19C818DE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6EB24C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2DBAE98C" w14:textId="77777777" w:rsidR="002E3FC9" w:rsidRDefault="002503D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implementation of the 15-week semester provided the opportunity to refine the Bachelor’s degree in Accounting to incorporate </w:t>
          </w:r>
          <w:r w:rsidR="00B21A2D">
            <w:rPr>
              <w:rFonts w:asciiTheme="majorHAnsi" w:hAnsiTheme="majorHAnsi" w:cs="Arial"/>
              <w:sz w:val="20"/>
              <w:szCs w:val="20"/>
            </w:rPr>
            <w:t xml:space="preserve">training in the use of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the latest tools in the field. This restructuring included deletion of one course and adding another to the degree program, as well as </w:t>
          </w:r>
          <w:r w:rsidR="00B21A2D">
            <w:rPr>
              <w:rFonts w:asciiTheme="majorHAnsi" w:hAnsiTheme="majorHAnsi" w:cs="Arial"/>
              <w:sz w:val="20"/>
              <w:szCs w:val="20"/>
            </w:rPr>
            <w:t>making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others require</w:t>
          </w:r>
          <w:r w:rsidR="00B21A2D">
            <w:rPr>
              <w:rFonts w:asciiTheme="majorHAnsi" w:hAnsiTheme="majorHAnsi" w:cs="Arial"/>
              <w:sz w:val="20"/>
              <w:szCs w:val="20"/>
            </w:rPr>
            <w:t>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(which were previously listed as electives)</w:t>
          </w:r>
          <w:r w:rsidR="007E13E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769E74D3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F4C21B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14:paraId="43C75E9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284F6C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1096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69"/>
      </w:tblGrid>
      <w:tr w:rsidR="00CD7510" w:rsidRPr="008426D1" w14:paraId="5B716701" w14:textId="77777777" w:rsidTr="00567D87">
        <w:trPr>
          <w:trHeight w:val="328"/>
        </w:trPr>
        <w:tc>
          <w:tcPr>
            <w:tcW w:w="10969" w:type="dxa"/>
            <w:shd w:val="clear" w:color="auto" w:fill="D9D9D9" w:themeFill="background1" w:themeFillShade="D9"/>
          </w:tcPr>
          <w:p w14:paraId="51FC69B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CDF221E" w14:textId="77777777" w:rsidTr="00567D87">
        <w:trPr>
          <w:trHeight w:val="5085"/>
        </w:trPr>
        <w:tc>
          <w:tcPr>
            <w:tcW w:w="10969" w:type="dxa"/>
            <w:shd w:val="clear" w:color="auto" w:fill="F2F2F2" w:themeFill="background1" w:themeFillShade="F2"/>
          </w:tcPr>
          <w:p w14:paraId="2889680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A69C0F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61DBD4C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DF3CB1A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CC36AA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FDF6A1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8F539D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2B8A5F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0C43C7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3516AF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582552F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EEBB7A1" wp14:editId="43F07FE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40ACDC9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D85461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72CCE7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CF95E8F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25AD57B0" w14:textId="77777777" w:rsidR="002503D1" w:rsidRDefault="002503D1" w:rsidP="002503D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sz w:val="18"/>
              <w:szCs w:val="18"/>
            </w:rPr>
            <w:t>Page 136</w:t>
          </w:r>
        </w:p>
        <w:p w14:paraId="0609B636" w14:textId="77777777" w:rsidR="002503D1" w:rsidRDefault="002503D1" w:rsidP="002503D1">
          <w:pPr>
            <w:rPr>
              <w:rFonts w:asciiTheme="majorHAnsi" w:hAnsiTheme="majorHAnsi" w:cs="Arial"/>
              <w:sz w:val="18"/>
              <w:szCs w:val="18"/>
            </w:rPr>
          </w:pPr>
        </w:p>
        <w:p w14:paraId="3D9FDCBB" w14:textId="77777777" w:rsidR="002503D1" w:rsidRDefault="002503D1" w:rsidP="002503D1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ind w:left="84" w:right="84"/>
            <w:jc w:val="center"/>
            <w:rPr>
              <w:rFonts w:ascii="Arial Narrow" w:hAnsi="Arial Narrow" w:cs="Arial Narrow"/>
              <w:b/>
              <w:bCs/>
              <w:color w:val="231F20"/>
              <w:sz w:val="32"/>
              <w:szCs w:val="32"/>
            </w:rPr>
          </w:pPr>
          <w:r>
            <w:rPr>
              <w:rFonts w:ascii="Arial Narrow" w:hAnsi="Arial Narrow" w:cs="Arial Narrow"/>
              <w:b/>
              <w:bCs/>
              <w:color w:val="231F20"/>
              <w:sz w:val="32"/>
              <w:szCs w:val="32"/>
            </w:rPr>
            <w:t>Major in Accounting</w:t>
          </w:r>
        </w:p>
        <w:p w14:paraId="38E3C4BB" w14:textId="77777777" w:rsidR="002503D1" w:rsidRDefault="002503D1" w:rsidP="002503D1">
          <w:pPr>
            <w:kinsoku w:val="0"/>
            <w:overflowPunct w:val="0"/>
            <w:autoSpaceDE w:val="0"/>
            <w:autoSpaceDN w:val="0"/>
            <w:adjustRightInd w:val="0"/>
            <w:spacing w:before="12" w:after="0" w:line="240" w:lineRule="auto"/>
            <w:ind w:left="84" w:right="84"/>
            <w:jc w:val="center"/>
            <w:rPr>
              <w:rFonts w:ascii="Arial" w:hAnsi="Arial" w:cs="Arial"/>
              <w:b/>
              <w:bCs/>
              <w:color w:val="231F2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Bachelor of Science</w:t>
          </w:r>
        </w:p>
        <w:p w14:paraId="14FF08C3" w14:textId="77777777" w:rsidR="002503D1" w:rsidRDefault="002503D1" w:rsidP="002503D1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ind w:left="84" w:right="84"/>
            <w:jc w:val="center"/>
            <w:rPr>
              <w:rFonts w:ascii="Arial" w:hAnsi="Arial" w:cs="Arial"/>
              <w:color w:val="231F2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 xml:space="preserve">A complete 8-semester degree plan is available </w:t>
          </w:r>
          <w:hyperlink r:id="rId12" w:history="1">
            <w:r>
              <w:rPr>
                <w:rStyle w:val="Hyperlink"/>
                <w:rFonts w:ascii="Arial" w:hAnsi="Arial" w:cs="Arial"/>
                <w:color w:val="231F20"/>
                <w:sz w:val="16"/>
                <w:szCs w:val="16"/>
              </w:rPr>
              <w:t>at https://www.astate.edu/info/academics/degrees/</w:t>
            </w:r>
          </w:hyperlink>
        </w:p>
        <w:p w14:paraId="16FFD79E" w14:textId="77777777" w:rsidR="002503D1" w:rsidRDefault="002503D1" w:rsidP="002503D1">
          <w:pPr>
            <w:kinsoku w:val="0"/>
            <w:overflowPunct w:val="0"/>
            <w:autoSpaceDE w:val="0"/>
            <w:autoSpaceDN w:val="0"/>
            <w:adjustRightInd w:val="0"/>
            <w:spacing w:before="9" w:after="0" w:line="240" w:lineRule="auto"/>
            <w:rPr>
              <w:rFonts w:ascii="Arial" w:hAnsi="Arial" w:cs="Arial"/>
              <w:sz w:val="11"/>
              <w:szCs w:val="11"/>
            </w:rPr>
          </w:pPr>
        </w:p>
        <w:tbl>
          <w:tblPr>
            <w:tblW w:w="0" w:type="auto"/>
            <w:tblInd w:w="578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059"/>
            <w:gridCol w:w="945"/>
          </w:tblGrid>
          <w:tr w:rsidR="002503D1" w14:paraId="02EC722F" w14:textId="77777777" w:rsidTr="002503D1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6FFF7368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5FB40A9" w14:textId="77777777" w:rsidR="002503D1" w:rsidRDefault="002503D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503D1" w14:paraId="41B69F55" w14:textId="77777777" w:rsidTr="002503D1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3E51FEF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44)</w:t>
                </w:r>
              </w:p>
              <w:p w14:paraId="4806E9C5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0" w:lineRule="auto"/>
                  <w:ind w:left="3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(For Neil Griffin College of Business requirements, see p. 133)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C430228" w14:textId="77777777" w:rsidR="002503D1" w:rsidRDefault="002503D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2503D1" w14:paraId="13F7828A" w14:textId="77777777" w:rsidTr="002503D1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160B61D0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First Year Making Connections 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4DB42B8C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503D1" w14:paraId="59F55E3E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9579218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BUSN 1003, First Year Experience Business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F8C71C4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2503D1" w14:paraId="1F0A6350" w14:textId="77777777" w:rsidTr="002503D1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352D5BE6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282B4532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503D1" w14:paraId="1F43F999" w14:textId="77777777" w:rsidTr="002503D1">
            <w:trPr>
              <w:trHeight w:hRule="exact" w:val="1255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C90A6DD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89)</w:t>
                </w:r>
              </w:p>
              <w:p w14:paraId="045E4BF9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3"/>
                    <w:szCs w:val="13"/>
                  </w:rPr>
                </w:pPr>
              </w:p>
              <w:p w14:paraId="30954149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34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 with this major must take the following:</w:t>
                </w:r>
              </w:p>
              <w:p w14:paraId="68F65F57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5" w:after="0" w:line="240" w:lineRule="auto"/>
                  <w:ind w:left="430"/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MATH 2143, Business Calculus with a “C” or better 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>OR</w:t>
                </w:r>
              </w:p>
              <w:p w14:paraId="4EB473EE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5" w:after="0" w:line="240" w:lineRule="auto"/>
                  <w:ind w:left="610"/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MATH 2194, Survey of Calculus 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>OR</w:t>
                </w:r>
              </w:p>
              <w:p w14:paraId="7BD05DCE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5" w:after="0" w:line="240" w:lineRule="auto"/>
                  <w:ind w:left="610"/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MATH 2204, Calculus I</w:t>
                </w:r>
              </w:p>
              <w:p w14:paraId="03AB9AB4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5" w:after="0" w:line="240" w:lineRule="auto"/>
                  <w:ind w:left="430"/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ECON 2313, Principles of Macroeconomics</w:t>
                </w:r>
              </w:p>
              <w:p w14:paraId="695AB066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5" w:after="0" w:line="240" w:lineRule="auto"/>
                  <w:ind w:left="43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COMS 1203, Oral Communication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72E1E0F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2503D1" w14:paraId="794938A2" w14:textId="77777777" w:rsidTr="002503D1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0DCB1563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Neil Griffin College of Business Core Courses: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43003049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503D1" w14:paraId="082EEA9C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90E9012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(See Beginning of Business Section)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EB9C7B4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39</w:t>
                </w:r>
              </w:p>
            </w:tc>
          </w:tr>
          <w:tr w:rsidR="002503D1" w14:paraId="59F214B4" w14:textId="77777777" w:rsidTr="002503D1">
            <w:trPr>
              <w:trHeight w:hRule="exact" w:val="57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0AEB0837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 Requirements:</w:t>
                </w:r>
              </w:p>
              <w:p w14:paraId="75A6D987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1" w:after="0" w:line="130" w:lineRule="exact"/>
                  <w:ind w:left="1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Students must maintain a minimum GPA of 2.5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AND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 grade of at least a “C” for each course in the major.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1CF40F0D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503D1" w14:paraId="1EBDC56F" w14:textId="77777777" w:rsidTr="002503D1">
            <w:trPr>
              <w:trHeight w:hRule="exact" w:val="425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71112F6" w14:textId="77777777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CIT 2033, Programming Fundamentals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5112B7B" w14:textId="77777777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</w:t>
                </w:r>
              </w:p>
            </w:tc>
          </w:tr>
          <w:tr w:rsidR="002503D1" w14:paraId="0B92E51D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14BEC31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lastRenderedPageBreak/>
                  <w:t>ACCT 3003, Intermediate Accounting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8B10ED6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4DD09E75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D6C33F2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ACCT 3013, Intermediate Accounting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B119D69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1A13051B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75BDC1F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ACCT 3033, Intermediate Accounting III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A18877F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trike/>
                    <w:color w:val="FF000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400077AA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6B79AEC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ACCT 3053, Cost Accounting with a Managerial Emphasis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CBF3FD4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06994161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CFB91D1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ACCT 4013, Tax Accounting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A15EFB2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706EE1D4" w14:textId="77777777" w:rsidTr="002503D1">
            <w:trPr>
              <w:trHeight w:hRule="exact" w:val="398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06DE52E" w14:textId="0DAA1BFD" w:rsidR="002503D1" w:rsidRPr="004730B9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 w:rsidRPr="004730B9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ACCT 4023, Advanced Accounting</w:t>
                </w:r>
                <w:r w:rsidR="004730B9" w:rsidRPr="004730B9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 xml:space="preserve"> and International Issues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2FDDF5D" w14:textId="77777777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</w:t>
                </w:r>
              </w:p>
            </w:tc>
          </w:tr>
          <w:tr w:rsidR="002503D1" w14:paraId="6573C3FA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8DA6332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ACCT 4033, Accounting Information Systems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D1C65A2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129846F4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5323CA4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ACCT 4053, Auditing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34D2BDC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2FA1F657" w14:textId="77777777" w:rsidTr="002503D1">
            <w:trPr>
              <w:trHeight w:hRule="exact" w:val="32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6E6C2AC" w14:textId="5E4C1F40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ACCT 4113, Tax </w:t>
                </w:r>
                <w:r w:rsidR="004730B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Accounting </w:t>
                </w:r>
                <w:bookmarkStart w:id="0" w:name="_GoBack"/>
                <w:bookmarkEnd w:id="0"/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DC73DFE" w14:textId="77777777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</w:t>
                </w:r>
              </w:p>
            </w:tc>
          </w:tr>
          <w:tr w:rsidR="002503D1" w14:paraId="0DB4F562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37442DE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ACCT 4123, Government and Not-For-Profit Accounting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E3621A1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706B8B0B" w14:textId="77777777" w:rsidTr="002503D1">
            <w:trPr>
              <w:trHeight w:hRule="exact" w:val="389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236668C" w14:textId="77777777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ACCT 4183, Accounting Analytics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C0900AC" w14:textId="77777777" w:rsidR="002503D1" w:rsidRDefault="002503D1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</w:t>
                </w:r>
              </w:p>
            </w:tc>
          </w:tr>
          <w:tr w:rsidR="002503D1" w14:paraId="7D4DFB60" w14:textId="77777777" w:rsidTr="002503D1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8C2068D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LAW 4043, Law of Business Organizations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6823C3E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503D1" w14:paraId="7E05AB29" w14:textId="77777777" w:rsidTr="002503D1">
            <w:trPr>
              <w:trHeight w:hRule="exact" w:val="679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3B17E99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Upper-level Accounting Electives</w:t>
                </w:r>
              </w:p>
              <w:p w14:paraId="3B527CA3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7" w:lineRule="auto"/>
                  <w:ind w:left="340" w:right="63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t>ACCT 3063, Hospitality Accounting, ACCT 4153, Fraud Examination, ACCT 430V, Special Problems in Accounting and ACCT 478V, Internship in Accounting MAY NOT be used to satisfy the Accounting Electives.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68456E0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trike/>
                    <w:color w:val="FF0000"/>
                    <w:w w:val="99"/>
                    <w:sz w:val="12"/>
                    <w:szCs w:val="12"/>
                  </w:rPr>
                  <w:t>6</w:t>
                </w:r>
              </w:p>
            </w:tc>
          </w:tr>
          <w:tr w:rsidR="002503D1" w14:paraId="1A91A6F3" w14:textId="77777777" w:rsidTr="002503D1">
            <w:trPr>
              <w:trHeight w:hRule="exact" w:val="41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A84314A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C63C536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32"/>
                  <w:jc w:val="center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33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36</w:t>
                </w:r>
              </w:p>
            </w:tc>
          </w:tr>
          <w:tr w:rsidR="002503D1" w14:paraId="2E18966A" w14:textId="77777777" w:rsidTr="002503D1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60BE7558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05A88C3C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503D1" w14:paraId="3616E6B5" w14:textId="77777777" w:rsidTr="002503D1">
            <w:trPr>
              <w:trHeight w:hRule="exact" w:val="452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04F3854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A309D7E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10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7</w:t>
                </w:r>
              </w:p>
            </w:tc>
          </w:tr>
          <w:tr w:rsidR="002503D1" w14:paraId="2912B1EF" w14:textId="77777777" w:rsidTr="002503D1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279D8040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604DF090" w14:textId="77777777" w:rsidR="002503D1" w:rsidRDefault="002503D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165" w:right="1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14:paraId="4D40EDB3" w14:textId="77777777" w:rsidR="00CD7510" w:rsidRPr="008426D1" w:rsidRDefault="000E31E3" w:rsidP="002503D1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CD7510" w:rsidRPr="008426D1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67E1" w14:textId="77777777" w:rsidR="000E31E3" w:rsidRDefault="000E31E3" w:rsidP="00AF3758">
      <w:pPr>
        <w:spacing w:after="0" w:line="240" w:lineRule="auto"/>
      </w:pPr>
      <w:r>
        <w:separator/>
      </w:r>
    </w:p>
  </w:endnote>
  <w:endnote w:type="continuationSeparator" w:id="0">
    <w:p w14:paraId="15AF194B" w14:textId="77777777" w:rsidR="000E31E3" w:rsidRDefault="000E31E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4CC6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6DB61A2F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7E177751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25E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6B995" w14:textId="77777777" w:rsidR="000E31E3" w:rsidRDefault="000E31E3" w:rsidP="00AF3758">
      <w:pPr>
        <w:spacing w:after="0" w:line="240" w:lineRule="auto"/>
      </w:pPr>
      <w:r>
        <w:separator/>
      </w:r>
    </w:p>
  </w:footnote>
  <w:footnote w:type="continuationSeparator" w:id="0">
    <w:p w14:paraId="6063E08E" w14:textId="77777777" w:rsidR="000E31E3" w:rsidRDefault="000E31E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MzYzsTAyMDExNzFW0lEKTi0uzszPAykwrAUA+7M0KywAAAA="/>
    <w:docVar w:name="APWAFVersion" w:val="5.0"/>
  </w:docVars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E31E3"/>
    <w:rsid w:val="000F2A51"/>
    <w:rsid w:val="00103070"/>
    <w:rsid w:val="00116278"/>
    <w:rsid w:val="0014025C"/>
    <w:rsid w:val="0014798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03D1"/>
    <w:rsid w:val="00254447"/>
    <w:rsid w:val="00261ACE"/>
    <w:rsid w:val="00262156"/>
    <w:rsid w:val="00265C17"/>
    <w:rsid w:val="002776C2"/>
    <w:rsid w:val="002E3FC9"/>
    <w:rsid w:val="003126FF"/>
    <w:rsid w:val="00322447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0B9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67D87"/>
    <w:rsid w:val="005825BA"/>
    <w:rsid w:val="00584C22"/>
    <w:rsid w:val="00592A95"/>
    <w:rsid w:val="005B2E9E"/>
    <w:rsid w:val="005E05A3"/>
    <w:rsid w:val="006179CB"/>
    <w:rsid w:val="00636DB3"/>
    <w:rsid w:val="006657FB"/>
    <w:rsid w:val="00677A48"/>
    <w:rsid w:val="006B4D13"/>
    <w:rsid w:val="006B52C0"/>
    <w:rsid w:val="006D0246"/>
    <w:rsid w:val="006E6117"/>
    <w:rsid w:val="006E6FEC"/>
    <w:rsid w:val="00703314"/>
    <w:rsid w:val="00712045"/>
    <w:rsid w:val="0073025F"/>
    <w:rsid w:val="0073125A"/>
    <w:rsid w:val="00750AF6"/>
    <w:rsid w:val="0075725E"/>
    <w:rsid w:val="007A06B9"/>
    <w:rsid w:val="007B23B3"/>
    <w:rsid w:val="007E13E3"/>
    <w:rsid w:val="008003A7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C1EC1"/>
    <w:rsid w:val="00AD2FB4"/>
    <w:rsid w:val="00AF20FF"/>
    <w:rsid w:val="00AF3758"/>
    <w:rsid w:val="00AF3C6A"/>
    <w:rsid w:val="00B1628A"/>
    <w:rsid w:val="00B21A2D"/>
    <w:rsid w:val="00B24A85"/>
    <w:rsid w:val="00B35368"/>
    <w:rsid w:val="00B7606A"/>
    <w:rsid w:val="00BC52B0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2212B"/>
    <w:rsid w:val="00D250A6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96783"/>
    <w:rsid w:val="00EB4FF5"/>
    <w:rsid w:val="00EC6970"/>
    <w:rsid w:val="00ED6A64"/>
    <w:rsid w:val="00EE55A2"/>
    <w:rsid w:val="00EF2A44"/>
    <w:rsid w:val="00F00ACF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D6D2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armack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s://www.astate.edu/info/academics/degre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3613E"/>
    <w:rsid w:val="00293680"/>
    <w:rsid w:val="00371DB3"/>
    <w:rsid w:val="003E4EBD"/>
    <w:rsid w:val="004027ED"/>
    <w:rsid w:val="004068B1"/>
    <w:rsid w:val="00444715"/>
    <w:rsid w:val="004B7262"/>
    <w:rsid w:val="004E1A75"/>
    <w:rsid w:val="00587536"/>
    <w:rsid w:val="005D5D2F"/>
    <w:rsid w:val="00623293"/>
    <w:rsid w:val="0062409E"/>
    <w:rsid w:val="00632CEE"/>
    <w:rsid w:val="00636142"/>
    <w:rsid w:val="0069772F"/>
    <w:rsid w:val="006C0858"/>
    <w:rsid w:val="00724E33"/>
    <w:rsid w:val="007B5EE7"/>
    <w:rsid w:val="007C429E"/>
    <w:rsid w:val="00874242"/>
    <w:rsid w:val="0088172E"/>
    <w:rsid w:val="0099436C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8330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dcterms:created xsi:type="dcterms:W3CDTF">2019-09-13T19:04:00Z</dcterms:created>
  <dcterms:modified xsi:type="dcterms:W3CDTF">2019-09-13T19:04:00Z</dcterms:modified>
</cp:coreProperties>
</file>