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293873319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293873319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6446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385F" w:rsidP="004C1DD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Brinda McKinney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4385F" w:rsidP="0034385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050817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98790225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879022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4C1DD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C1DD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Brinda McKinney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C1DDF" w:rsidP="004C1DD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050817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5444484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544448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34385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438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5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4385F" w:rsidP="0034385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8470901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47090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55268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526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5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52686" w:rsidP="0055268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9313696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1369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3463D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47175703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717570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463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745509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5509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4C1DD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Brinda McKinney 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4C1DD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Remove </w:t>
          </w:r>
          <w:r w:rsidR="00683F93" w:rsidRPr="00683F93">
            <w:rPr>
              <w:rFonts w:asciiTheme="majorHAnsi" w:hAnsiTheme="majorHAnsi" w:cs="Arial"/>
              <w:sz w:val="20"/>
              <w:szCs w:val="20"/>
            </w:rPr>
            <w:t>NRS 3343 and adding NRS 3473</w:t>
          </w:r>
          <w:r w:rsidR="00683F93">
            <w:rPr>
              <w:rFonts w:asciiTheme="majorHAnsi" w:hAnsiTheme="majorHAnsi" w:cs="Arial"/>
              <w:sz w:val="20"/>
              <w:szCs w:val="20"/>
            </w:rPr>
            <w:t xml:space="preserve"> on page 352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4C1DD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050817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4C1DD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C1DDF">
            <w:rPr>
              <w:rFonts w:asciiTheme="majorHAnsi" w:hAnsiTheme="majorHAnsi" w:cs="Arial"/>
              <w:sz w:val="20"/>
              <w:szCs w:val="20"/>
            </w:rPr>
            <w:t>NRS 3343 Pharmacology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has been deleted and replaced in the traditional program. Thus it is necessary to following this through to the </w:t>
          </w:r>
          <w:r w:rsidR="0034385F">
            <w:rPr>
              <w:rFonts w:asciiTheme="majorHAnsi" w:hAnsiTheme="majorHAnsi" w:cs="Arial"/>
              <w:sz w:val="20"/>
              <w:szCs w:val="20"/>
            </w:rPr>
            <w:t>articulated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 list for the online RN-BSN students.   The course getting articulated credit is actually </w:t>
          </w:r>
          <w:r w:rsidRPr="004C1DDF">
            <w:rPr>
              <w:rFonts w:asciiTheme="majorHAnsi" w:hAnsiTheme="majorHAnsi" w:cs="Arial"/>
              <w:sz w:val="20"/>
              <w:szCs w:val="20"/>
            </w:rPr>
            <w:t>NRS 3473 Pathophysiology-Based Pharmacology 2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AD2FB4" w:rsidP="000A3A0E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  <w:r w:rsidR="00CD7510"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683F93" w:rsidRPr="00683F93" w:rsidRDefault="00683F93" w:rsidP="00683F93">
          <w:pPr>
            <w:pStyle w:val="BodyText"/>
            <w:kinsoku w:val="0"/>
            <w:overflowPunct w:val="0"/>
            <w:rPr>
              <w:rFonts w:ascii="Times New Roman" w:hAnsi="Times New Roman" w:cs="Times New Roman"/>
              <w:sz w:val="20"/>
              <w:szCs w:val="20"/>
            </w:rPr>
          </w:pPr>
        </w:p>
        <w:p w:rsidR="00683F93" w:rsidRPr="00683F93" w:rsidRDefault="00683F93" w:rsidP="00683F93">
          <w:pPr>
            <w:kinsoku w:val="0"/>
            <w:overflowPunct w:val="0"/>
            <w:autoSpaceDE w:val="0"/>
            <w:autoSpaceDN w:val="0"/>
            <w:adjustRightInd w:val="0"/>
            <w:spacing w:before="9" w:after="0" w:line="240" w:lineRule="auto"/>
            <w:ind w:left="2050" w:right="2050"/>
            <w:jc w:val="center"/>
            <w:rPr>
              <w:rFonts w:ascii="Calibri" w:hAnsi="Calibri" w:cs="Calibri"/>
              <w:color w:val="000000"/>
              <w:sz w:val="32"/>
              <w:szCs w:val="32"/>
            </w:rPr>
          </w:pPr>
          <w:r w:rsidRPr="00683F93">
            <w:rPr>
              <w:rFonts w:ascii="Calibri" w:hAnsi="Calibri" w:cs="Calibri"/>
              <w:b/>
              <w:bCs/>
              <w:color w:val="231F20"/>
              <w:w w:val="80"/>
              <w:sz w:val="32"/>
              <w:szCs w:val="32"/>
            </w:rPr>
            <w:t>RN-to-BSN</w:t>
          </w:r>
          <w:r w:rsidRPr="00683F93">
            <w:rPr>
              <w:rFonts w:ascii="Calibri" w:hAnsi="Calibri" w:cs="Calibri"/>
              <w:b/>
              <w:bCs/>
              <w:color w:val="231F20"/>
              <w:spacing w:val="26"/>
              <w:w w:val="80"/>
              <w:sz w:val="32"/>
              <w:szCs w:val="32"/>
            </w:rPr>
            <w:t xml:space="preserve"> </w:t>
          </w:r>
          <w:r w:rsidRPr="00683F93">
            <w:rPr>
              <w:rFonts w:ascii="Calibri" w:hAnsi="Calibri" w:cs="Calibri"/>
              <w:b/>
              <w:bCs/>
              <w:color w:val="231F20"/>
              <w:w w:val="80"/>
              <w:sz w:val="32"/>
              <w:szCs w:val="32"/>
            </w:rPr>
            <w:t>Option</w:t>
          </w:r>
        </w:p>
        <w:p w:rsidR="00683F93" w:rsidRPr="00683F93" w:rsidRDefault="00683F93" w:rsidP="00683F93">
          <w:pPr>
            <w:kinsoku w:val="0"/>
            <w:overflowPunct w:val="0"/>
            <w:autoSpaceDE w:val="0"/>
            <w:autoSpaceDN w:val="0"/>
            <w:adjustRightInd w:val="0"/>
            <w:spacing w:before="46" w:after="0" w:line="240" w:lineRule="auto"/>
            <w:ind w:left="2050" w:right="205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683F93"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>Bachelor</w:t>
          </w:r>
          <w:r w:rsidRPr="00683F93"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3F93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 w:rsidRPr="00683F93"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3F93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  <w:r w:rsidRPr="00683F93"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3F93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</w:t>
          </w:r>
          <w:r w:rsidRPr="00683F93"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3F93"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</w:p>
        <w:p w:rsidR="00683F93" w:rsidRPr="00683F93" w:rsidRDefault="00683F93" w:rsidP="00683F93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rPr>
              <w:rFonts w:ascii="Arial" w:hAnsi="Arial" w:cs="Arial"/>
              <w:b/>
              <w:bCs/>
              <w:sz w:val="12"/>
              <w:szCs w:val="12"/>
            </w:rPr>
          </w:pPr>
        </w:p>
        <w:tbl>
          <w:tblPr>
            <w:tblW w:w="0" w:type="auto"/>
            <w:tblInd w:w="9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52"/>
            <w:gridCol w:w="1710"/>
          </w:tblGrid>
          <w:tr w:rsidR="00683F93" w:rsidRPr="00683F93" w:rsidTr="00EE7EE9">
            <w:trPr>
              <w:trHeight w:hRule="exact" w:val="276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University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University General Requirements for Baccalaureate degrees (p. 42)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83F93" w:rsidRPr="00683F93" w:rsidTr="00EE7EE9">
            <w:trPr>
              <w:trHeight w:hRule="exact" w:val="276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General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Education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683F93" w:rsidRPr="00683F93" w:rsidTr="00EE7EE9">
            <w:trPr>
              <w:trHeight w:hRule="exact" w:val="111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General Education Curriculum for Baccalaureate degrees (p. 84)</w:t>
                </w:r>
              </w:p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" w:after="0" w:line="240" w:lineRule="auto"/>
                  <w:rPr>
                    <w:rFonts w:ascii="Arial" w:hAnsi="Arial" w:cs="Arial"/>
                    <w:b/>
                    <w:bCs/>
                    <w:sz w:val="13"/>
                    <w:szCs w:val="13"/>
                  </w:rPr>
                </w:pPr>
              </w:p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major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must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take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the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following:</w:t>
                </w:r>
              </w:p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50" w:lineRule="auto"/>
                  <w:ind w:left="340" w:right="86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CHEM 1043 </w:t>
                </w:r>
                <w:r w:rsidRPr="00683F93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683F93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CHEM 1041, Fundamentals of Chemistry I and Laboratory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pacing w:val="21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BIOL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2103 </w:t>
                </w:r>
                <w:r w:rsidRPr="00683F93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683F93"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BIOL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2101, Microbiology for Nurses and Laboratory</w:t>
                </w:r>
              </w:p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50" w:lineRule="auto"/>
                  <w:ind w:left="340" w:right="292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PSY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2013, Introduction to Psychology SOC 2213, Introduction to Sociology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683F93" w:rsidRPr="00683F93" w:rsidTr="00EE7EE9">
            <w:trPr>
              <w:trHeight w:hRule="exact" w:val="276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HP</w:t>
                </w:r>
                <w:r w:rsidRPr="00683F93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3413, Cultural Competence in the Health Professions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2793, Health</w:t>
                </w:r>
                <w:r w:rsidRPr="00683F93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Assessment and Exam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3713, Evidence Based Practice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3723, Clinical Pathophysiology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4713, Chronic Illness Nursing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4723, High</w:t>
                </w:r>
                <w:r w:rsidRPr="00683F93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Acuity Nursing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4733, Nursing Management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4743, Community Nursing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4763, Professional Nursing Role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Upper-level Nursing elective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683F93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4793, RN-BSN Capstone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51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NS 2203, Basic Human Nutrition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39</w:t>
                </w:r>
              </w:p>
            </w:tc>
          </w:tr>
          <w:tr w:rsidR="00683F93" w:rsidRPr="00683F93" w:rsidTr="00EE7EE9">
            <w:trPr>
              <w:trHeight w:hRule="exact" w:val="276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Hours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by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1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Articulation: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2313, Concepts of Nursing Practice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2322, Foundations of Nursing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2334, Health Promotion and Intro to</w:t>
                </w:r>
                <w:r w:rsidRPr="00683F93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Acute Care Nursing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3315,</w:t>
                </w:r>
                <w:r w:rsidRPr="00683F93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Acute Care Nursing I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34385F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trike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NRS 3343, Clinical Pharmacology</w:t>
                </w:r>
                <w:r w:rsidR="00EE7EE9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 </w:t>
                </w:r>
                <w:r w:rsidR="00EE7EE9" w:rsidRPr="00EE7EE9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 </w:t>
                </w:r>
                <w:r w:rsidR="00EE7EE9" w:rsidRPr="00EE7EE9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NRS 3473 Pathophysiology</w:t>
                </w:r>
                <w:r w:rsidR="0034385F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 xml:space="preserve"> </w:t>
                </w:r>
                <w:r w:rsidR="00EE7EE9" w:rsidRPr="00EE7EE9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Based Pharmacology</w:t>
                </w:r>
                <w:r w:rsidR="00EE7EE9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 xml:space="preserve"> </w:t>
                </w:r>
                <w:r w:rsidR="0034385F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II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 3345,</w:t>
                </w:r>
                <w:r w:rsidRPr="00683F93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Acute Care Nursing II</w:t>
                </w:r>
                <w:bookmarkStart w:id="0" w:name="_GoBack"/>
                <w:bookmarkEnd w:id="0"/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683F93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2321, Foundations of Nursing Practicum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683F93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2343, Nursing Care II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683F93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3325, Nursing Care III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NRSP</w:t>
                </w:r>
                <w:r w:rsidRPr="00683F93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3355, Nursing Care IV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36</w:t>
                </w:r>
              </w:p>
            </w:tc>
          </w:tr>
          <w:tr w:rsidR="00683F93" w:rsidRPr="00683F93" w:rsidTr="00EE7EE9">
            <w:trPr>
              <w:trHeight w:hRule="exact" w:val="276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Required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Support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Courses: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BIO 2203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2201, Human</w:t>
                </w:r>
                <w:r w:rsidRPr="00683F93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Anatomy and Physiology I and Laboratory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BIO 2223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2221, Human</w:t>
                </w:r>
                <w:r w:rsidRPr="00683F93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Anatomy and Physiology II and Laboratory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Statistics (3 hours)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683F93" w:rsidRPr="00683F93" w:rsidTr="00EE7EE9">
            <w:trPr>
              <w:trHeight w:hRule="exact" w:val="247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lastRenderedPageBreak/>
                  <w:t>Sub-total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right="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2"/>
                    <w:szCs w:val="12"/>
                  </w:rPr>
                  <w:t>11</w:t>
                </w:r>
              </w:p>
            </w:tc>
          </w:tr>
          <w:tr w:rsidR="00683F93" w:rsidRPr="00683F93" w:rsidTr="00EE7EE9">
            <w:trPr>
              <w:trHeight w:hRule="exact" w:val="276"/>
            </w:trPr>
            <w:tc>
              <w:tcPr>
                <w:tcW w:w="745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6"/>
                    <w:szCs w:val="16"/>
                  </w:rPr>
                  <w:t>Total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Required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171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683F93" w:rsidRPr="00683F93" w:rsidRDefault="00683F93" w:rsidP="00683F93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3F93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121</w:t>
                </w:r>
              </w:p>
            </w:tc>
          </w:tr>
        </w:tbl>
        <w:p w:rsidR="00CD7510" w:rsidRPr="008426D1" w:rsidRDefault="003463D6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19" w:rsidRDefault="00CD2E19" w:rsidP="00AF3758">
      <w:pPr>
        <w:spacing w:after="0" w:line="240" w:lineRule="auto"/>
      </w:pPr>
      <w:r>
        <w:separator/>
      </w:r>
    </w:p>
  </w:endnote>
  <w:endnote w:type="continuationSeparator" w:id="0">
    <w:p w:rsidR="00CD2E19" w:rsidRDefault="00CD2E1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19" w:rsidRDefault="00CD2E19" w:rsidP="00AF3758">
      <w:pPr>
        <w:spacing w:after="0" w:line="240" w:lineRule="auto"/>
      </w:pPr>
      <w:r>
        <w:separator/>
      </w:r>
    </w:p>
  </w:footnote>
  <w:footnote w:type="continuationSeparator" w:id="0">
    <w:p w:rsidR="00CD2E19" w:rsidRDefault="00CD2E1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3A0E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385F"/>
    <w:rsid w:val="003463D6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64464"/>
    <w:rsid w:val="00473252"/>
    <w:rsid w:val="00487771"/>
    <w:rsid w:val="00492F7C"/>
    <w:rsid w:val="004A7706"/>
    <w:rsid w:val="004C1DDF"/>
    <w:rsid w:val="004C59E8"/>
    <w:rsid w:val="004E5007"/>
    <w:rsid w:val="004F3C87"/>
    <w:rsid w:val="00504BCC"/>
    <w:rsid w:val="00515205"/>
    <w:rsid w:val="00526B81"/>
    <w:rsid w:val="00552686"/>
    <w:rsid w:val="00563E52"/>
    <w:rsid w:val="00584C22"/>
    <w:rsid w:val="00592A95"/>
    <w:rsid w:val="005B2E9E"/>
    <w:rsid w:val="005C164C"/>
    <w:rsid w:val="006179CB"/>
    <w:rsid w:val="00636DB3"/>
    <w:rsid w:val="006657FB"/>
    <w:rsid w:val="00677A48"/>
    <w:rsid w:val="00683F93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2E19"/>
    <w:rsid w:val="00CD7510"/>
    <w:rsid w:val="00D0686A"/>
    <w:rsid w:val="00D445A5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E7B34"/>
    <w:rsid w:val="00EE7EE9"/>
    <w:rsid w:val="00EF2A44"/>
    <w:rsid w:val="00F01A8B"/>
    <w:rsid w:val="00F11CE3"/>
    <w:rsid w:val="00F645B5"/>
    <w:rsid w:val="00F75657"/>
    <w:rsid w:val="00F87993"/>
    <w:rsid w:val="00F94447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3F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413DAF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413DAF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25139"/>
    <w:rsid w:val="000723D9"/>
    <w:rsid w:val="000D3E26"/>
    <w:rsid w:val="00156A9E"/>
    <w:rsid w:val="001B45B5"/>
    <w:rsid w:val="00293680"/>
    <w:rsid w:val="00371DB3"/>
    <w:rsid w:val="004027ED"/>
    <w:rsid w:val="004068B1"/>
    <w:rsid w:val="00413DAF"/>
    <w:rsid w:val="00444715"/>
    <w:rsid w:val="004E1A75"/>
    <w:rsid w:val="00587536"/>
    <w:rsid w:val="005D5D2F"/>
    <w:rsid w:val="00623293"/>
    <w:rsid w:val="00636142"/>
    <w:rsid w:val="00695950"/>
    <w:rsid w:val="006C0858"/>
    <w:rsid w:val="00724E33"/>
    <w:rsid w:val="007C429E"/>
    <w:rsid w:val="0088172E"/>
    <w:rsid w:val="009C0E11"/>
    <w:rsid w:val="00AC3009"/>
    <w:rsid w:val="00AD5D56"/>
    <w:rsid w:val="00B2559E"/>
    <w:rsid w:val="00B43FD6"/>
    <w:rsid w:val="00B46AFF"/>
    <w:rsid w:val="00BA2926"/>
    <w:rsid w:val="00C16165"/>
    <w:rsid w:val="00C35680"/>
    <w:rsid w:val="00CD4EF8"/>
    <w:rsid w:val="00F8467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3947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2017-05-09T21:49:00Z</dcterms:created>
  <dcterms:modified xsi:type="dcterms:W3CDTF">2017-05-09T21:49:00Z</dcterms:modified>
</cp:coreProperties>
</file>