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F6DE16D" w:rsidR="00001C04" w:rsidRPr="008426D1" w:rsidRDefault="00432E3D" w:rsidP="00F26F4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F26F40">
                  <w:rPr>
                    <w:rFonts w:asciiTheme="majorHAnsi" w:hAnsiTheme="majorHAnsi"/>
                    <w:sz w:val="20"/>
                    <w:szCs w:val="20"/>
                  </w:rPr>
                  <w:t>Andre Possani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26F40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432E3D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FDB03DC" w:rsidR="00001C04" w:rsidRPr="008426D1" w:rsidRDefault="00432E3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69CE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6169CE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432E3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16EC9A9B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8100CCE" w:rsidR="004C4ADF" w:rsidRDefault="00432E3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F26F40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26F40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432E3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68E166D6" w:rsidR="00D66C39" w:rsidRPr="008426D1" w:rsidRDefault="00432E3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96398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63986">
                  <w:rPr>
                    <w:rFonts w:asciiTheme="majorHAnsi" w:hAnsiTheme="majorHAnsi"/>
                    <w:smallCaps/>
                    <w:sz w:val="20"/>
                    <w:szCs w:val="20"/>
                  </w:rPr>
                  <w:t>09/29/2021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6398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Office 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432E3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9DCF6F3" w:rsidR="00D66C39" w:rsidRPr="008426D1" w:rsidRDefault="00432E3D" w:rsidP="00BE222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E222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8322349" w:rsidR="00D66C39" w:rsidRPr="008426D1" w:rsidRDefault="00432E3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E00E9F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00E9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432E3D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432E3D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E40AF96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560C4870" w:rsidR="00A865C3" w:rsidRDefault="00CF2B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4D71B7">
              <w:rPr>
                <w:rFonts w:asciiTheme="majorHAnsi" w:hAnsiTheme="majorHAnsi" w:cs="Arial"/>
                <w:b/>
                <w:sz w:val="20"/>
                <w:szCs w:val="20"/>
              </w:rPr>
              <w:t>473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4AB45462" w:rsidR="00A865C3" w:rsidRDefault="0074678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Compressible </w:t>
            </w:r>
            <w:r w:rsidR="004D71B7">
              <w:rPr>
                <w:rFonts w:asciiTheme="majorHAnsi" w:hAnsiTheme="majorHAnsi" w:cs="Arial"/>
                <w:b/>
                <w:sz w:val="20"/>
                <w:szCs w:val="20"/>
              </w:rPr>
              <w:t>Fluid Mechanics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3D3739E4" w:rsidR="00A865C3" w:rsidRDefault="000E011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E011B">
              <w:rPr>
                <w:rFonts w:asciiTheme="majorHAnsi" w:hAnsiTheme="majorHAnsi" w:cs="Arial"/>
                <w:b/>
                <w:sz w:val="20"/>
                <w:szCs w:val="20"/>
              </w:rPr>
              <w:t>Basics of compressible fluid dynamics, including governing equations, thermodynamic context and characteristic parameters. Basic applications of compressible flows to the analysis of nozzles and compressible turbomachinery. Introduction to Turbulent flows.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432E3D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E0F6BD3" w:rsidR="00A966C5" w:rsidRPr="008426D1" w:rsidRDefault="00432E3D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4D71B7" w:rsidRPr="004D71B7">
            <w:rPr>
              <w:rFonts w:asciiTheme="majorHAnsi" w:hAnsiTheme="majorHAnsi" w:cs="Arial"/>
              <w:sz w:val="20"/>
              <w:szCs w:val="20"/>
            </w:rPr>
            <w:t>C or better in ENGR 347</w:t>
          </w:r>
          <w:r w:rsidR="00B13B0F" w:rsidRPr="00B13B0F">
            <w:rPr>
              <w:rFonts w:asciiTheme="majorHAnsi" w:hAnsiTheme="majorHAnsi" w:cs="Arial"/>
              <w:sz w:val="20"/>
              <w:szCs w:val="20"/>
            </w:rPr>
            <w:t>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743F084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bookmarkStart w:id="0" w:name="_Hlk82694022"/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0E011B">
            <w:rPr>
              <w:rFonts w:asciiTheme="majorHAnsi" w:hAnsiTheme="majorHAnsi" w:cs="Arial"/>
              <w:sz w:val="20"/>
              <w:szCs w:val="20"/>
            </w:rPr>
            <w:t>Requires knowledge of fluid mechanics</w:t>
          </w:r>
          <w:bookmarkEnd w:id="0"/>
          <w:r w:rsidR="000E011B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7962B66" w:rsidR="00391206" w:rsidRPr="008426D1" w:rsidRDefault="00432E3D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</w:t>
      </w:r>
      <w:r w:rsidR="000E011B">
        <w:rPr>
          <w:rFonts w:asciiTheme="majorHAnsi" w:hAnsiTheme="majorHAnsi" w:cs="Arial"/>
          <w:sz w:val="20"/>
          <w:szCs w:val="20"/>
        </w:rPr>
        <w:t>No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CD473CE" w14:textId="2726F1AF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E57300F" w:rsidR="00C002F9" w:rsidRPr="008426D1" w:rsidRDefault="009D086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Irregularly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F229CCB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497B0E5A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</w:t>
          </w:r>
          <w:r w:rsidR="004D71B7">
            <w:rPr>
              <w:rFonts w:asciiTheme="majorHAnsi" w:hAnsiTheme="majorHAnsi" w:cs="Arial"/>
              <w:sz w:val="20"/>
              <w:szCs w:val="20"/>
            </w:rPr>
            <w:t>ecture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A8215BC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 xml:space="preserve">BS in </w:t>
              </w:r>
              <w:r w:rsidR="00BF7CE1">
                <w:rPr>
                  <w:rFonts w:asciiTheme="majorHAnsi" w:hAnsiTheme="majorHAnsi"/>
                  <w:sz w:val="20"/>
                  <w:szCs w:val="20"/>
                </w:rPr>
                <w:t>Mechani</w:t>
              </w:r>
              <w:r w:rsidR="008B03EC">
                <w:rPr>
                  <w:rFonts w:asciiTheme="majorHAnsi" w:hAnsiTheme="majorHAnsi"/>
                  <w:sz w:val="20"/>
                  <w:szCs w:val="20"/>
                </w:rPr>
                <w:t>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5236E790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1: Review Concepts of Fluid Mechanics and Thermodynamics</w:t>
          </w:r>
        </w:p>
        <w:p w14:paraId="1F5E53FC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2: Introduction to compressible flow</w:t>
          </w:r>
        </w:p>
        <w:p w14:paraId="00C8A7C4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3: Governing equations for one dimensional flow</w:t>
          </w:r>
        </w:p>
        <w:p w14:paraId="2CD8CD0A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4: Concepts of nozzle and diffuser for compressible flow</w:t>
          </w:r>
        </w:p>
        <w:p w14:paraId="143ED360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5: Quasi-One-Dimensional Isentropic Flow: Governing Equations,</w:t>
          </w:r>
        </w:p>
        <w:p w14:paraId="493FC794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6: One-dimensional equations for stationary normal shock</w:t>
          </w:r>
        </w:p>
        <w:p w14:paraId="2ED855B7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7: Entropy change across a normal shock</w:t>
          </w:r>
        </w:p>
        <w:p w14:paraId="3C5D20A7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 xml:space="preserve">Week 8: Two-dimensional waves </w:t>
          </w:r>
        </w:p>
        <w:p w14:paraId="5BBA71F8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9: Flow equations for Prandtl-Meyer expansion fan</w:t>
          </w:r>
        </w:p>
        <w:p w14:paraId="1AB325FD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10: Equation of motion for straight oblique shock wave</w:t>
          </w:r>
        </w:p>
        <w:p w14:paraId="65C52E27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11: Concepts of attached and detached shock waves</w:t>
          </w:r>
        </w:p>
        <w:p w14:paraId="588886CD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12: Reflection and interaction of shocks and expansion wave</w:t>
          </w:r>
        </w:p>
        <w:p w14:paraId="08A85140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13: Supersonic flow in converging-diverging nozzle</w:t>
          </w:r>
        </w:p>
        <w:p w14:paraId="3C41B182" w14:textId="77777777" w:rsidR="004D71B7" w:rsidRPr="004D71B7" w:rsidRDefault="004D71B7" w:rsidP="004D71B7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>Week 14: Flow in a constant area duct with friction</w:t>
          </w:r>
        </w:p>
        <w:p w14:paraId="05FF986E" w14:textId="77777777" w:rsidR="006169CE" w:rsidRDefault="004D71B7" w:rsidP="00B13B0F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4D71B7">
            <w:rPr>
              <w:rFonts w:asciiTheme="majorHAnsi" w:hAnsiTheme="majorHAnsi" w:cs="Arial"/>
              <w:sz w:val="20"/>
              <w:szCs w:val="20"/>
            </w:rPr>
            <w:t xml:space="preserve">Week 15: </w:t>
          </w:r>
          <w:proofErr w:type="spellStart"/>
          <w:r w:rsidRPr="004D71B7">
            <w:rPr>
              <w:rFonts w:asciiTheme="majorHAnsi" w:hAnsiTheme="majorHAnsi" w:cs="Arial"/>
              <w:sz w:val="20"/>
              <w:szCs w:val="20"/>
            </w:rPr>
            <w:t>Fanno</w:t>
          </w:r>
          <w:proofErr w:type="spellEnd"/>
          <w:r w:rsidRPr="004D71B7">
            <w:rPr>
              <w:rFonts w:asciiTheme="majorHAnsi" w:hAnsiTheme="majorHAnsi" w:cs="Arial"/>
              <w:sz w:val="20"/>
              <w:szCs w:val="20"/>
            </w:rPr>
            <w:t xml:space="preserve"> line</w:t>
          </w:r>
          <w:r w:rsidR="006169CE">
            <w:rPr>
              <w:rFonts w:asciiTheme="majorHAnsi" w:hAnsiTheme="majorHAnsi" w:cs="Arial"/>
              <w:sz w:val="20"/>
              <w:szCs w:val="20"/>
            </w:rPr>
            <w:t xml:space="preserve"> and Rayleigh</w:t>
          </w:r>
          <w:r w:rsidRPr="004D71B7">
            <w:rPr>
              <w:rFonts w:asciiTheme="majorHAnsi" w:hAnsiTheme="majorHAnsi" w:cs="Arial"/>
              <w:sz w:val="20"/>
              <w:szCs w:val="20"/>
            </w:rPr>
            <w:t xml:space="preserve"> flow and </w:t>
          </w:r>
          <w:r w:rsidR="006169CE">
            <w:rPr>
              <w:rFonts w:asciiTheme="majorHAnsi" w:hAnsiTheme="majorHAnsi" w:cs="Arial"/>
              <w:sz w:val="20"/>
              <w:szCs w:val="20"/>
            </w:rPr>
            <w:t xml:space="preserve">their </w:t>
          </w:r>
          <w:r w:rsidRPr="004D71B7">
            <w:rPr>
              <w:rFonts w:asciiTheme="majorHAnsi" w:hAnsiTheme="majorHAnsi" w:cs="Arial"/>
              <w:sz w:val="20"/>
              <w:szCs w:val="20"/>
            </w:rPr>
            <w:t>working relations</w:t>
          </w:r>
        </w:p>
        <w:p w14:paraId="4C36B818" w14:textId="2177A4F2" w:rsidR="00A966C5" w:rsidRPr="008426D1" w:rsidRDefault="00432E3D" w:rsidP="00B13B0F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1C1280CC" w:rsidR="00A966C5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CE3CAC2" w14:textId="77777777" w:rsidR="003D3032" w:rsidRPr="008426D1" w:rsidRDefault="003D3032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71467A91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432E3D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01A35E2D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0E011B">
            <w:rPr>
              <w:rFonts w:asciiTheme="majorHAnsi" w:hAnsiTheme="majorHAnsi" w:cs="Arial"/>
              <w:sz w:val="20"/>
              <w:szCs w:val="20"/>
            </w:rPr>
            <w:t>Students will learn the b</w:t>
          </w:r>
          <w:r w:rsidR="000E011B" w:rsidRPr="000E011B">
            <w:rPr>
              <w:rFonts w:asciiTheme="majorHAnsi" w:hAnsiTheme="majorHAnsi" w:cs="Arial"/>
              <w:sz w:val="20"/>
              <w:szCs w:val="20"/>
            </w:rPr>
            <w:t>asics of compressible fluid dynamics, including governing equations, thermodynamic context and characteristic parameters. Basic applications of compressible flows to the analysis of nozzles and compressible turbomachinery. Introduction to Turbulent flows.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0C35E6A1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bookmarkStart w:id="1" w:name="_Hlk82694086"/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0E011B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0E011B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0E011B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bookmarkEnd w:id="1"/>
          <w:r w:rsidR="000E011B">
            <w:rPr>
              <w:rFonts w:asciiTheme="majorHAnsi" w:hAnsiTheme="majorHAnsi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7C2EC73" w:rsidR="00CA269E" w:rsidRPr="008426D1" w:rsidRDefault="00BF7CE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Mechanical Systems</w:t>
          </w:r>
          <w:r w:rsidR="008C6B1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8C6B18">
            <w:rPr>
              <w:rFonts w:asciiTheme="majorHAnsi" w:hAnsiTheme="majorHAnsi" w:cs="Arial"/>
              <w:sz w:val="20"/>
              <w:szCs w:val="20"/>
            </w:rPr>
            <w:t>ngineering students at ASUCQ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778CA478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0E011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bookmarkStart w:id="2" w:name="_Hlk82694077"/>
          <w:r w:rsidR="000E011B">
            <w:rPr>
              <w:rFonts w:asciiTheme="majorHAnsi" w:hAnsiTheme="majorHAnsi" w:cs="Arial"/>
              <w:sz w:val="20"/>
              <w:szCs w:val="20"/>
            </w:rPr>
            <w:t>because it requires knowledge from lower-level courses</w:t>
          </w:r>
          <w:bookmarkEnd w:id="2"/>
          <w:r w:rsidR="000E011B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bookmarkStart w:id="3" w:name="_Hlk82693836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477293434"/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470283600"/>
              </w:sdtPr>
              <w:sdtEndPr/>
              <w:sdtContent>
                <w:sdt>
                  <w:sdtPr>
                    <w:rPr>
                      <w:rFonts w:asciiTheme="majorHAnsi" w:hAnsiTheme="majorHAnsi" w:cs="Arial"/>
                      <w:sz w:val="20"/>
                      <w:szCs w:val="20"/>
                    </w:rPr>
                    <w:id w:val="-1624607282"/>
                  </w:sdtPr>
                  <w:sdtEndPr/>
                  <w:sdtContent>
                    <w:bookmarkStart w:id="4" w:name="_Hlk82694113" w:displacedByCustomXml="next"/>
                    <w:sdt>
                      <w:sdtP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id w:val="769972000"/>
                      </w:sdtPr>
                      <w:sdtEndPr/>
                      <w:sdtContent>
                        <w:p w14:paraId="77964C95" w14:textId="1DA627C7" w:rsidR="00547433" w:rsidRPr="008426D1" w:rsidRDefault="00BE2226" w:rsidP="00547433">
                          <w:pPr>
                            <w:tabs>
                              <w:tab w:val="left" w:pos="360"/>
                              <w:tab w:val="left" w:pos="720"/>
                            </w:tabs>
                            <w:spacing w:after="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</w:pPr>
                          <w:r w:rsidRPr="00BE2226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 xml:space="preserve">This course is an elective course in the degree plan and won’t be used for direct assessment.  </w:t>
                          </w:r>
                          <w:r w:rsidR="000E011B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>This course contributes to PLO 1: an ability</w:t>
                          </w:r>
                          <w:r w:rsidR="000E011B" w:rsidRPr="0024520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011B" w:rsidRPr="008C6B1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to identify, formulate, and solve complex engineering problems by applying principles of engineering, science, and mathematics</w:t>
                          </w:r>
                          <w:bookmarkEnd w:id="4"/>
                          <w:r w:rsidR="000E011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.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</w:sdtContent>
    </w:sdt>
    <w:bookmarkEnd w:id="3"/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4CC136CD" w14:textId="77777777" w:rsidR="00F26F40" w:rsidRPr="00057703" w:rsidRDefault="00F26F40" w:rsidP="00F26F40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26F40" w:rsidRPr="00057703" w14:paraId="0CF9C5CC" w14:textId="77777777" w:rsidTr="003B7BEF">
        <w:tc>
          <w:tcPr>
            <w:tcW w:w="2148" w:type="dxa"/>
          </w:tcPr>
          <w:p w14:paraId="2B60478B" w14:textId="77777777" w:rsidR="00F26F40" w:rsidRPr="00057703" w:rsidRDefault="00F26F40" w:rsidP="003B7B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057703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27A556A5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An ability to identify, formulate, and solve complex engineering problems by applying principles of engineering, science, and mathematics.</w:t>
                </w:r>
              </w:p>
            </w:tc>
          </w:sdtContent>
        </w:sdt>
      </w:tr>
      <w:tr w:rsidR="00F26F40" w:rsidRPr="00057703" w14:paraId="2A3CB71B" w14:textId="77777777" w:rsidTr="003B7BEF">
        <w:tc>
          <w:tcPr>
            <w:tcW w:w="2148" w:type="dxa"/>
          </w:tcPr>
          <w:p w14:paraId="6525CC05" w14:textId="77777777" w:rsidR="00F26F40" w:rsidRPr="00057703" w:rsidRDefault="00F26F40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7610BC65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7B18740F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74296FF0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74B83A34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5A9DCC02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72A850F3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3E366D84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- 90% of students will score 3.0 or higher on portfolio evaluations (graded work, exams, papers, etc.) performed by faculty from the following course:</w:t>
                </w:r>
              </w:p>
              <w:p w14:paraId="491448E1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 xml:space="preserve">      ME 3613 Control Systems for Mechanical Engineers</w:t>
                </w:r>
              </w:p>
            </w:sdtContent>
          </w:sdt>
        </w:tc>
      </w:tr>
      <w:tr w:rsidR="00F26F40" w:rsidRPr="00057703" w14:paraId="127E24CD" w14:textId="77777777" w:rsidTr="003B7BEF">
        <w:tc>
          <w:tcPr>
            <w:tcW w:w="2148" w:type="dxa"/>
          </w:tcPr>
          <w:p w14:paraId="764958B4" w14:textId="77777777" w:rsidR="00F26F40" w:rsidRPr="00057703" w:rsidRDefault="00F26F40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22010893"/>
          </w:sdtPr>
          <w:sdtEndPr/>
          <w:sdtContent>
            <w:tc>
              <w:tcPr>
                <w:tcW w:w="7428" w:type="dxa"/>
              </w:tcPr>
              <w:p w14:paraId="76DCDFAF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ME 3613</w:t>
                </w:r>
              </w:p>
            </w:tc>
          </w:sdtContent>
        </w:sdt>
      </w:tr>
      <w:tr w:rsidR="00F26F40" w:rsidRPr="00057703" w14:paraId="6277185C" w14:textId="77777777" w:rsidTr="003B7BEF">
        <w:tc>
          <w:tcPr>
            <w:tcW w:w="2148" w:type="dxa"/>
          </w:tcPr>
          <w:p w14:paraId="0C56996D" w14:textId="77777777" w:rsidR="00F26F40" w:rsidRPr="00057703" w:rsidRDefault="00F26F40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7148B2FA" w14:textId="77777777" w:rsidR="00F26F40" w:rsidRPr="00057703" w:rsidRDefault="00F26F40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0D070C7F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Collect data whenever ME 3613 is offered. Assess every 3 years according to the College of Engineering and Computer Science assessment schedule.</w:t>
                </w:r>
              </w:p>
            </w:tc>
          </w:sdtContent>
        </w:sdt>
      </w:tr>
      <w:tr w:rsidR="00F26F40" w:rsidRPr="00057703" w14:paraId="2A772A91" w14:textId="77777777" w:rsidTr="003B7BEF">
        <w:tc>
          <w:tcPr>
            <w:tcW w:w="2148" w:type="dxa"/>
          </w:tcPr>
          <w:p w14:paraId="0DEE726B" w14:textId="77777777" w:rsidR="00F26F40" w:rsidRPr="00057703" w:rsidRDefault="00F26F40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FA8230E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40557BB2" w14:textId="77777777" w:rsidR="00F26F40" w:rsidRPr="00057703" w:rsidRDefault="00F26F40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ME 3613.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3425EB4D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 w:rsidR="00C241A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4D71B7">
                  <w:rPr>
                    <w:rFonts w:asciiTheme="majorHAnsi" w:hAnsiTheme="majorHAnsi"/>
                    <w:sz w:val="20"/>
                    <w:szCs w:val="20"/>
                  </w:rPr>
                  <w:t>Advanced Fluid Mechanics</w:t>
                </w:r>
              </w:p>
            </w:tc>
          </w:sdtContent>
        </w:sdt>
      </w:tr>
      <w:tr w:rsidR="004D71B7" w:rsidRPr="002B453A" w14:paraId="1687EB40" w14:textId="77777777" w:rsidTr="00575870">
        <w:tc>
          <w:tcPr>
            <w:tcW w:w="2148" w:type="dxa"/>
          </w:tcPr>
          <w:p w14:paraId="2A6C1D2C" w14:textId="060AB1C9" w:rsidR="004D71B7" w:rsidRPr="002B453A" w:rsidRDefault="004D71B7" w:rsidP="004D71B7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16448A9211B34A5FA8A9567A85E4806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19EBA9CE" w14:textId="77777777" w:rsidR="004D71B7" w:rsidRPr="00AF5845" w:rsidRDefault="004D71B7" w:rsidP="004D71B7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00DE143D" w:rsidR="004D71B7" w:rsidRPr="002B453A" w:rsidRDefault="004D71B7" w:rsidP="004D71B7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4D71B7" w:rsidRPr="002B453A" w14:paraId="11E8ED94" w14:textId="77777777" w:rsidTr="00575870">
        <w:tc>
          <w:tcPr>
            <w:tcW w:w="2148" w:type="dxa"/>
          </w:tcPr>
          <w:p w14:paraId="7758B915" w14:textId="11F232C1" w:rsidR="004D71B7" w:rsidRPr="002B453A" w:rsidRDefault="004D71B7" w:rsidP="004D71B7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73A9ABF" w:rsidR="004D71B7" w:rsidRPr="002B453A" w:rsidRDefault="00432E3D" w:rsidP="004D71B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4D71B7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F0CF4D0" w14:textId="77777777" w:rsidR="00BF7CE1" w:rsidRPr="00493A98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552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 w:rsidRPr="00E04288">
            <w:rPr>
              <w:rFonts w:asciiTheme="majorHAnsi" w:hAnsiTheme="majorHAnsi" w:cs="Arial"/>
              <w:b/>
              <w:bCs/>
              <w:sz w:val="28"/>
              <w:szCs w:val="28"/>
            </w:rPr>
            <w:t>Military Science and Leadership (MSL)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”</w:t>
          </w:r>
        </w:p>
        <w:p w14:paraId="5F18D289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5651BF1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191CAFB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7C8E01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6EECEA5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75A5F">
                <w:rPr>
                  <w:rFonts w:cstheme="minorHAnsi"/>
                  <w:iCs/>
                </w:rPr>
                <w:t xml:space="preserve">4012, MLED 4022, MLED 4032. </w:t>
              </w:r>
              <w:r w:rsidRPr="00E75A5F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11E7E90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</w:p>
            <w:p w14:paraId="08E2582E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Military</w:t>
              </w: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Science and Leadership (MSL)</w:t>
              </w:r>
            </w:p>
            <w:p w14:paraId="6E5D928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</w:rPr>
              </w:pPr>
            </w:p>
            <w:p w14:paraId="16CA6F1A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6F15053F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147722B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397AD43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382C1BBF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0F313918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6E6804D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278F868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4827ABD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34F88B6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4012, MLED 4022, MLED 4032. Spring.</w:t>
              </w:r>
            </w:p>
            <w:p w14:paraId="3E08097D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5560E6E9" w14:textId="77777777" w:rsidR="00BF7CE1" w:rsidRPr="00E675AC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Mechanical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 xml:space="preserve"> Systems Engineering (</w:t>
              </w: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SE)</w:t>
              </w:r>
            </w:p>
            <w:p w14:paraId="0187651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1EEF08EC" w14:textId="093146CB" w:rsidR="000E011B" w:rsidRPr="00C73E62" w:rsidRDefault="000E011B" w:rsidP="000E011B">
              <w:pPr>
                <w:jc w:val="both"/>
                <w:rPr>
                  <w:rFonts w:ascii="Arial" w:hAnsi="Arial" w:cs="Arial"/>
                  <w:sz w:val="18"/>
                  <w:szCs w:val="18"/>
                  <w:highlight w:val="yellow"/>
                </w:rPr>
              </w:pP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MSE </w:t>
              </w:r>
              <w:r w:rsidRPr="00746783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4473</w:t>
              </w:r>
              <w:r w:rsidR="00D3618C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.</w:t>
              </w:r>
              <w:r w:rsidRPr="00746783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 </w:t>
              </w:r>
              <w:r w:rsidR="00746783" w:rsidRPr="00746783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Compressible </w:t>
              </w:r>
              <w:r w:rsidRPr="00746783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Fluid </w:t>
              </w:r>
              <w:proofErr w:type="gramStart"/>
              <w:r w:rsidRPr="00746783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Mechanics</w:t>
              </w:r>
              <w:r w:rsidRPr="00746783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</w:t>
              </w:r>
              <w:r w:rsidR="00D3618C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</w:t>
              </w:r>
              <w:r w:rsidRPr="00746783">
                <w:rPr>
                  <w:rFonts w:ascii="Arial" w:hAnsi="Arial" w:cs="Arial"/>
                  <w:sz w:val="18"/>
                  <w:szCs w:val="18"/>
                  <w:highlight w:val="yellow"/>
                </w:rPr>
                <w:t>Basics</w:t>
              </w:r>
              <w:proofErr w:type="gramEnd"/>
              <w:r w:rsidRPr="00746783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of compressible fluid dynamics, including governing equations, thermodynamic context and characteristic parameters. Basic applications of compressible flows to the analysis of nozzles and compressible turbomachinery. Introduction to Turbulent flows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. Prerequisite: C or better in ENGR 3473.</w:t>
              </w:r>
            </w:p>
            <w:p w14:paraId="40B9F24B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lastRenderedPageBreak/>
                <w:t>Military Science and Leadership (MSL)</w:t>
              </w:r>
            </w:p>
            <w:p w14:paraId="3890F2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2BC4331C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20E977D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122B6B07" w14:textId="37A63AB5" w:rsidR="00BF7CE1" w:rsidRDefault="00BF7CE1" w:rsidP="00BF7CE1">
              <w:pPr>
                <w:spacing w:after="0" w:line="240" w:lineRule="auto"/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27FFDB12" w14:textId="72A9D5A1" w:rsidR="00D3680D" w:rsidRPr="008426D1" w:rsidRDefault="00432E3D" w:rsidP="00F7678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3481" w14:textId="77777777" w:rsidR="00432E3D" w:rsidRDefault="00432E3D" w:rsidP="00AF3758">
      <w:pPr>
        <w:spacing w:after="0" w:line="240" w:lineRule="auto"/>
      </w:pPr>
      <w:r>
        <w:separator/>
      </w:r>
    </w:p>
  </w:endnote>
  <w:endnote w:type="continuationSeparator" w:id="0">
    <w:p w14:paraId="0161EA47" w14:textId="77777777" w:rsidR="00432E3D" w:rsidRDefault="00432E3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8AC7DD5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1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AF06" w14:textId="77777777" w:rsidR="00432E3D" w:rsidRDefault="00432E3D" w:rsidP="00AF3758">
      <w:pPr>
        <w:spacing w:after="0" w:line="240" w:lineRule="auto"/>
      </w:pPr>
      <w:r>
        <w:separator/>
      </w:r>
    </w:p>
  </w:footnote>
  <w:footnote w:type="continuationSeparator" w:id="0">
    <w:p w14:paraId="623D9304" w14:textId="77777777" w:rsidR="00432E3D" w:rsidRDefault="00432E3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D5436"/>
    <w:rsid w:val="000D6AA1"/>
    <w:rsid w:val="000E011B"/>
    <w:rsid w:val="000E0BB8"/>
    <w:rsid w:val="000F0FE3"/>
    <w:rsid w:val="000F5476"/>
    <w:rsid w:val="00101FF4"/>
    <w:rsid w:val="00103070"/>
    <w:rsid w:val="00104FDB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87441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0B82"/>
    <w:rsid w:val="002A7E22"/>
    <w:rsid w:val="002B2119"/>
    <w:rsid w:val="002C498C"/>
    <w:rsid w:val="002E0CD3"/>
    <w:rsid w:val="002E3BD5"/>
    <w:rsid w:val="002E544F"/>
    <w:rsid w:val="00306A01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B0013"/>
    <w:rsid w:val="003C334C"/>
    <w:rsid w:val="003D2DDC"/>
    <w:rsid w:val="003D3032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2E3D"/>
    <w:rsid w:val="00434AA5"/>
    <w:rsid w:val="004665CF"/>
    <w:rsid w:val="00473252"/>
    <w:rsid w:val="00474C39"/>
    <w:rsid w:val="004765A5"/>
    <w:rsid w:val="00487771"/>
    <w:rsid w:val="00491BD4"/>
    <w:rsid w:val="0049675B"/>
    <w:rsid w:val="00497E06"/>
    <w:rsid w:val="004A211B"/>
    <w:rsid w:val="004A2E84"/>
    <w:rsid w:val="004A7706"/>
    <w:rsid w:val="004B1430"/>
    <w:rsid w:val="004C4ADF"/>
    <w:rsid w:val="004C53EC"/>
    <w:rsid w:val="004D5819"/>
    <w:rsid w:val="004D71B7"/>
    <w:rsid w:val="004F3C87"/>
    <w:rsid w:val="00504ECD"/>
    <w:rsid w:val="00526B81"/>
    <w:rsid w:val="00541473"/>
    <w:rsid w:val="0054568E"/>
    <w:rsid w:val="00547433"/>
    <w:rsid w:val="00556E69"/>
    <w:rsid w:val="005677EC"/>
    <w:rsid w:val="0056782C"/>
    <w:rsid w:val="00573D98"/>
    <w:rsid w:val="00575870"/>
    <w:rsid w:val="00583967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69CE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46783"/>
    <w:rsid w:val="00750AF6"/>
    <w:rsid w:val="007637B2"/>
    <w:rsid w:val="00765503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4E8E"/>
    <w:rsid w:val="008663CA"/>
    <w:rsid w:val="00895557"/>
    <w:rsid w:val="008B03EC"/>
    <w:rsid w:val="008B2BCB"/>
    <w:rsid w:val="008B74B6"/>
    <w:rsid w:val="008C6881"/>
    <w:rsid w:val="008C6B18"/>
    <w:rsid w:val="008C703B"/>
    <w:rsid w:val="008E6C1C"/>
    <w:rsid w:val="008F5CDA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63986"/>
    <w:rsid w:val="00976B5B"/>
    <w:rsid w:val="00983ADC"/>
    <w:rsid w:val="00984490"/>
    <w:rsid w:val="00987195"/>
    <w:rsid w:val="00997390"/>
    <w:rsid w:val="009A529F"/>
    <w:rsid w:val="009B22B2"/>
    <w:rsid w:val="009B2E40"/>
    <w:rsid w:val="009D086F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3B0F"/>
    <w:rsid w:val="00B141DA"/>
    <w:rsid w:val="00B1628A"/>
    <w:rsid w:val="00B23EEE"/>
    <w:rsid w:val="00B35368"/>
    <w:rsid w:val="00B43E02"/>
    <w:rsid w:val="00B46334"/>
    <w:rsid w:val="00B51325"/>
    <w:rsid w:val="00B53D98"/>
    <w:rsid w:val="00B5613F"/>
    <w:rsid w:val="00B6203D"/>
    <w:rsid w:val="00B6337D"/>
    <w:rsid w:val="00B71755"/>
    <w:rsid w:val="00B74127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2226"/>
    <w:rsid w:val="00BE6384"/>
    <w:rsid w:val="00BE70E2"/>
    <w:rsid w:val="00BF68C8"/>
    <w:rsid w:val="00BF6FF6"/>
    <w:rsid w:val="00BF7CE1"/>
    <w:rsid w:val="00C002F9"/>
    <w:rsid w:val="00C06304"/>
    <w:rsid w:val="00C12816"/>
    <w:rsid w:val="00C12977"/>
    <w:rsid w:val="00C23120"/>
    <w:rsid w:val="00C23CC7"/>
    <w:rsid w:val="00C241AB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2CE7"/>
    <w:rsid w:val="00C84BDD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18C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A473E"/>
    <w:rsid w:val="00DB1CDE"/>
    <w:rsid w:val="00DB3463"/>
    <w:rsid w:val="00DC1C9F"/>
    <w:rsid w:val="00DD4450"/>
    <w:rsid w:val="00DE70AB"/>
    <w:rsid w:val="00DF4C1C"/>
    <w:rsid w:val="00E00E9F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77CE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26F40"/>
    <w:rsid w:val="00F3035E"/>
    <w:rsid w:val="00F3261D"/>
    <w:rsid w:val="00F36F29"/>
    <w:rsid w:val="00F40E7C"/>
    <w:rsid w:val="00F44095"/>
    <w:rsid w:val="00F62834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5698"/>
    <w:rsid w:val="00FD27A4"/>
    <w:rsid w:val="00FD2B44"/>
    <w:rsid w:val="00FD508C"/>
    <w:rsid w:val="00FE22BD"/>
    <w:rsid w:val="00FF1984"/>
    <w:rsid w:val="00FF534D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F2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6448A9211B34A5FA8A9567A85E4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ACA19-1BE6-4770-8C7A-DD6E0D91610A}"/>
      </w:docPartPr>
      <w:docPartBody>
        <w:p w:rsidR="00697730" w:rsidRDefault="00DF5F11" w:rsidP="00DF5F11">
          <w:pPr>
            <w:pStyle w:val="16448A9211B34A5FA8A9567A85E4806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7A6C"/>
    <w:rsid w:val="000354CE"/>
    <w:rsid w:val="00054153"/>
    <w:rsid w:val="000738EC"/>
    <w:rsid w:val="00081B63"/>
    <w:rsid w:val="000B2786"/>
    <w:rsid w:val="001D35FE"/>
    <w:rsid w:val="00285AA2"/>
    <w:rsid w:val="002D64D6"/>
    <w:rsid w:val="0032383A"/>
    <w:rsid w:val="00337484"/>
    <w:rsid w:val="003D4C2A"/>
    <w:rsid w:val="003F69FB"/>
    <w:rsid w:val="004248EE"/>
    <w:rsid w:val="00425226"/>
    <w:rsid w:val="00436B57"/>
    <w:rsid w:val="00487015"/>
    <w:rsid w:val="004E1A75"/>
    <w:rsid w:val="00534B28"/>
    <w:rsid w:val="00576003"/>
    <w:rsid w:val="00587536"/>
    <w:rsid w:val="005C4D59"/>
    <w:rsid w:val="005D5D2F"/>
    <w:rsid w:val="006177D4"/>
    <w:rsid w:val="00623293"/>
    <w:rsid w:val="00630A3C"/>
    <w:rsid w:val="00654E35"/>
    <w:rsid w:val="00655CD9"/>
    <w:rsid w:val="006866E6"/>
    <w:rsid w:val="00697730"/>
    <w:rsid w:val="006C3910"/>
    <w:rsid w:val="00732598"/>
    <w:rsid w:val="00735E43"/>
    <w:rsid w:val="007625C0"/>
    <w:rsid w:val="00781434"/>
    <w:rsid w:val="00813951"/>
    <w:rsid w:val="00816AC8"/>
    <w:rsid w:val="008822A5"/>
    <w:rsid w:val="00891F77"/>
    <w:rsid w:val="008921B4"/>
    <w:rsid w:val="008F7B96"/>
    <w:rsid w:val="00913E4B"/>
    <w:rsid w:val="0096458F"/>
    <w:rsid w:val="009D439F"/>
    <w:rsid w:val="00A20583"/>
    <w:rsid w:val="00AC62E8"/>
    <w:rsid w:val="00AD4B92"/>
    <w:rsid w:val="00AD5D56"/>
    <w:rsid w:val="00AF65B5"/>
    <w:rsid w:val="00B2559E"/>
    <w:rsid w:val="00B3720A"/>
    <w:rsid w:val="00B46360"/>
    <w:rsid w:val="00B46AFF"/>
    <w:rsid w:val="00B72454"/>
    <w:rsid w:val="00B72548"/>
    <w:rsid w:val="00BA0596"/>
    <w:rsid w:val="00BE0E7B"/>
    <w:rsid w:val="00C274D9"/>
    <w:rsid w:val="00CB25D5"/>
    <w:rsid w:val="00CD4EF8"/>
    <w:rsid w:val="00CD656D"/>
    <w:rsid w:val="00CE7C19"/>
    <w:rsid w:val="00D12475"/>
    <w:rsid w:val="00D87B77"/>
    <w:rsid w:val="00D96F4E"/>
    <w:rsid w:val="00DC036A"/>
    <w:rsid w:val="00DD12EE"/>
    <w:rsid w:val="00DE6391"/>
    <w:rsid w:val="00DF5F11"/>
    <w:rsid w:val="00E33C3D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F5F1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16448A9211B34A5FA8A9567A85E48061">
    <w:name w:val="16448A9211B34A5FA8A9567A85E48061"/>
    <w:rsid w:val="00DF5F1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054F-1C6F-4B37-B432-968A7FC9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cp:lastPrinted>2019-07-10T17:02:00Z</cp:lastPrinted>
  <dcterms:created xsi:type="dcterms:W3CDTF">2021-10-08T14:54:00Z</dcterms:created>
  <dcterms:modified xsi:type="dcterms:W3CDTF">2021-10-11T15:02:00Z</dcterms:modified>
</cp:coreProperties>
</file>