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83ADD83"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0C4E81" w:rsidRPr="000C4E81">
                <w:rPr>
                  <w:rFonts w:asciiTheme="majorHAnsi" w:hAnsiTheme="majorHAnsi"/>
                  <w:sz w:val="20"/>
                  <w:szCs w:val="20"/>
                </w:rPr>
                <w:t>2016G_NHP10</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0C4E81"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0C4E81"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0C4E81"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E7716A" w:rsidR="00001C04" w:rsidRPr="008426D1" w:rsidRDefault="000C4E81"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C4E8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DF69965" w:rsidR="00001C04" w:rsidRPr="008426D1" w:rsidRDefault="007658AF"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713493B0" wp14:editId="6DA699BC">
                  <wp:simplePos x="0" y="0"/>
                  <wp:positionH relativeFrom="column">
                    <wp:posOffset>36195</wp:posOffset>
                  </wp:positionH>
                  <wp:positionV relativeFrom="paragraph">
                    <wp:posOffset>571500</wp:posOffset>
                  </wp:positionV>
                  <wp:extent cx="1733550" cy="6064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33550" cy="60642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C4E8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A765D02" w:rsidR="00001C04" w:rsidRPr="008426D1" w:rsidRDefault="000C4E81" w:rsidP="007658A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802920725"/>
                      </w:sdtPr>
                      <w:sdtEndPr/>
                      <w:sdtContent>
                        <w:sdt>
                          <w:sdtPr>
                            <w:rPr>
                              <w:rFonts w:asciiTheme="majorHAnsi" w:hAnsiTheme="majorHAnsi"/>
                              <w:sz w:val="20"/>
                              <w:szCs w:val="20"/>
                            </w:rPr>
                            <w:id w:val="-1203017311"/>
                            <w:showingPlcHdr/>
                          </w:sdtPr>
                          <w:sdtEndPr/>
                          <w:sdtContent>
                            <w:permStart w:id="1800620603" w:edGrp="everyone"/>
                            <w:r w:rsidR="007658AF" w:rsidRPr="008426D1">
                              <w:rPr>
                                <w:rFonts w:asciiTheme="majorHAnsi" w:hAnsiTheme="majorHAnsi"/>
                                <w:color w:val="808080" w:themeColor="background1" w:themeShade="80"/>
                                <w:sz w:val="52"/>
                                <w:szCs w:val="52"/>
                                <w:shd w:val="clear" w:color="auto" w:fill="D9D9D9" w:themeFill="background1" w:themeFillShade="D9"/>
                              </w:rPr>
                              <w:t>___________________</w:t>
                            </w:r>
                            <w:permEnd w:id="1800620603"/>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BA480E">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C4E8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62393EC" w:rsidR="00001C04" w:rsidRPr="008426D1" w:rsidRDefault="008C3CDE"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57F62E0C" wp14:editId="727613A5">
                  <wp:simplePos x="0" y="0"/>
                  <wp:positionH relativeFrom="column">
                    <wp:posOffset>217170</wp:posOffset>
                  </wp:positionH>
                  <wp:positionV relativeFrom="paragraph">
                    <wp:posOffset>-95885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C4E8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F148BEC"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0C4E8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2A06922" w14:textId="77777777" w:rsidR="009D5991" w:rsidRPr="009D5991" w:rsidRDefault="009D5991" w:rsidP="009D5991">
          <w:pPr>
            <w:tabs>
              <w:tab w:val="left" w:pos="360"/>
              <w:tab w:val="left" w:pos="720"/>
            </w:tabs>
            <w:spacing w:after="0" w:line="240" w:lineRule="auto"/>
            <w:rPr>
              <w:rFonts w:asciiTheme="majorHAnsi" w:hAnsiTheme="majorHAnsi" w:cs="Arial"/>
              <w:sz w:val="20"/>
              <w:szCs w:val="20"/>
            </w:rPr>
          </w:pPr>
          <w:r w:rsidRPr="009D5991">
            <w:rPr>
              <w:rFonts w:asciiTheme="majorHAnsi" w:hAnsiTheme="majorHAnsi" w:cs="Arial"/>
              <w:sz w:val="20"/>
              <w:szCs w:val="20"/>
            </w:rPr>
            <w:t>Susan Hanrahan, PhD, Dean</w:t>
          </w:r>
        </w:p>
        <w:p w14:paraId="0EEE3F21" w14:textId="77777777" w:rsidR="009D5991" w:rsidRPr="009D5991" w:rsidRDefault="009D5991" w:rsidP="009D5991">
          <w:pPr>
            <w:tabs>
              <w:tab w:val="left" w:pos="360"/>
              <w:tab w:val="left" w:pos="720"/>
            </w:tabs>
            <w:spacing w:after="0" w:line="240" w:lineRule="auto"/>
            <w:rPr>
              <w:rFonts w:asciiTheme="majorHAnsi" w:hAnsiTheme="majorHAnsi" w:cs="Arial"/>
              <w:sz w:val="20"/>
              <w:szCs w:val="20"/>
            </w:rPr>
          </w:pPr>
          <w:r w:rsidRPr="009D5991">
            <w:rPr>
              <w:rFonts w:asciiTheme="majorHAnsi" w:hAnsiTheme="majorHAnsi" w:cs="Arial"/>
              <w:sz w:val="20"/>
              <w:szCs w:val="20"/>
            </w:rPr>
            <w:t>hanrahan@astate.edu</w:t>
          </w:r>
        </w:p>
        <w:p w14:paraId="76E25B1E" w14:textId="64F89F8A" w:rsidR="007D371A" w:rsidRPr="008426D1" w:rsidRDefault="009D5991" w:rsidP="009D5991">
          <w:pPr>
            <w:tabs>
              <w:tab w:val="left" w:pos="360"/>
              <w:tab w:val="left" w:pos="720"/>
            </w:tabs>
            <w:spacing w:after="0" w:line="240" w:lineRule="auto"/>
            <w:rPr>
              <w:rFonts w:asciiTheme="majorHAnsi" w:hAnsiTheme="majorHAnsi" w:cs="Arial"/>
              <w:sz w:val="20"/>
              <w:szCs w:val="20"/>
            </w:rPr>
          </w:pPr>
          <w:r w:rsidRPr="009D5991">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206254C1"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658AF" w:rsidRPr="007658AF">
        <w:t xml:space="preserve"> </w:t>
      </w:r>
    </w:p>
    <w:sdt>
      <w:sdtPr>
        <w:rPr>
          <w:rFonts w:asciiTheme="majorHAnsi" w:hAnsiTheme="majorHAnsi" w:cs="Arial"/>
          <w:sz w:val="20"/>
          <w:szCs w:val="20"/>
        </w:rPr>
        <w:id w:val="-2076511728"/>
      </w:sdtPr>
      <w:sdtEndPr/>
      <w:sdtContent>
        <w:p w14:paraId="4B61AF5D" w14:textId="7BBAF8F4" w:rsidR="007D371A" w:rsidRPr="008426D1" w:rsidRDefault="006E781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0F2E0FBD" w:rsidR="00CB4B5A" w:rsidRPr="008426D1" w:rsidRDefault="00DA23D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55</w:t>
          </w:r>
          <w:r w:rsidR="006E781D">
            <w:rPr>
              <w:rFonts w:asciiTheme="majorHAnsi" w:hAnsiTheme="majorHAnsi" w:cs="Arial"/>
              <w:sz w:val="20"/>
              <w:szCs w:val="20"/>
            </w:rPr>
            <w:t>1</w:t>
          </w:r>
          <w:r w:rsidR="008D7736">
            <w:rPr>
              <w:rFonts w:asciiTheme="majorHAnsi" w:hAnsiTheme="majorHAnsi" w:cs="Arial"/>
              <w:sz w:val="20"/>
              <w:szCs w:val="20"/>
            </w:rPr>
            <w:t>3</w:t>
          </w:r>
        </w:p>
      </w:sdtContent>
    </w:sdt>
    <w:p w14:paraId="7FE651F5" w14:textId="5A29E82D" w:rsidR="00EF2038" w:rsidRDefault="00EF2038" w:rsidP="009D599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51E795C" w:rsidR="00CB4B5A" w:rsidRPr="008426D1" w:rsidRDefault="000C4E8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A23D0">
            <w:rPr>
              <w:rFonts w:asciiTheme="majorHAnsi" w:hAnsiTheme="majorHAnsi" w:cs="Arial"/>
              <w:sz w:val="20"/>
              <w:szCs w:val="20"/>
            </w:rPr>
            <w:t>Clinical Education in AT I</w:t>
          </w:r>
          <w:r w:rsidR="006E781D">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60600074" w:rsidR="00C002F9" w:rsidRPr="008426D1" w:rsidRDefault="006E781D" w:rsidP="00001C04">
      <w:pPr>
        <w:tabs>
          <w:tab w:val="left" w:pos="360"/>
          <w:tab w:val="left" w:pos="720"/>
        </w:tabs>
        <w:spacing w:after="0" w:line="240" w:lineRule="auto"/>
        <w:rPr>
          <w:rFonts w:asciiTheme="majorHAnsi" w:hAnsiTheme="majorHAnsi" w:cs="Arial"/>
          <w:sz w:val="20"/>
          <w:szCs w:val="20"/>
        </w:rPr>
      </w:pPr>
      <w:r w:rsidRPr="006E781D">
        <w:rPr>
          <w:rFonts w:ascii="Times New Roman" w:eastAsia="Times New Roman" w:hAnsi="Times New Roman" w:cs="Times New Roman"/>
          <w:sz w:val="24"/>
          <w:szCs w:val="24"/>
        </w:rPr>
        <w:t>Expands on skills previously acquired and introduces new skills related to current coursework.  Students will be assigned to a clinical education rotation under the direct supervision of a clinical preceptor.  Second in the series of four clinical courses.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1331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23D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C4E8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showingPlcHdr/>
          <w:comboBox>
            <w:listItem w:displayText="No" w:value="No"/>
            <w:listItem w:displayText="Yes" w:value="Yes"/>
          </w:comboBox>
        </w:sdtPr>
        <w:sdtEndPr/>
        <w:sdtContent>
          <w:r w:rsidRPr="008426D1">
            <w:rPr>
              <w:rStyle w:val="PlaceholderText"/>
            </w:rPr>
            <w:t>Choose an item.</w:t>
          </w:r>
        </w:sdtContent>
      </w:sdt>
    </w:p>
    <w:p w14:paraId="389EE19D" w14:textId="470E593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A2044B">
        <w:rPr>
          <w:rFonts w:asciiTheme="majorHAnsi" w:hAnsiTheme="majorHAnsi" w:cs="Arial"/>
          <w:sz w:val="20"/>
          <w:szCs w:val="20"/>
        </w:rPr>
        <w:t>Masters in</w:t>
      </w:r>
      <w:r w:rsidRPr="008426D1">
        <w:rPr>
          <w:rFonts w:asciiTheme="majorHAnsi" w:hAnsiTheme="majorHAnsi" w:cs="Arial"/>
          <w:sz w:val="20"/>
          <w:szCs w:val="20"/>
        </w:rPr>
        <w:t xml:space="preserve"> </w:t>
      </w:r>
      <w:sdt>
        <w:sdtPr>
          <w:rPr>
            <w:rFonts w:asciiTheme="majorHAnsi" w:hAnsiTheme="majorHAnsi" w:cs="Arial"/>
            <w:sz w:val="20"/>
            <w:szCs w:val="20"/>
          </w:rPr>
          <w:id w:val="-1739092008"/>
        </w:sdtPr>
        <w:sdtEndPr/>
        <w:sdtContent>
          <w:r w:rsidR="00DA23D0">
            <w:rPr>
              <w:rFonts w:asciiTheme="majorHAnsi" w:hAnsiTheme="majorHAnsi" w:cs="Arial"/>
              <w:sz w:val="20"/>
              <w:szCs w:val="20"/>
            </w:rPr>
            <w:t>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39B8F44" w:rsidR="00AF68E8" w:rsidRPr="008426D1" w:rsidRDefault="00DA23D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4A1DBC6" w:rsidR="00C23120" w:rsidRPr="008426D1" w:rsidRDefault="00DA23D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968550F" w:rsidR="00C23120" w:rsidRPr="008426D1" w:rsidRDefault="00DA23D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68404B02" w14:textId="6441D12A" w:rsidR="0049675B" w:rsidRPr="00197E7A" w:rsidRDefault="0049675B" w:rsidP="00197E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28B7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23D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C80946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r w:rsidR="00A2044B">
        <w:rPr>
          <w:rFonts w:asciiTheme="majorHAnsi" w:hAnsiTheme="majorHAnsi" w:cs="Arial"/>
          <w:sz w:val="20"/>
          <w:szCs w:val="20"/>
        </w:rPr>
        <w:t xml:space="preserve">Masters in </w:t>
      </w:r>
      <w:sdt>
        <w:sdtPr>
          <w:rPr>
            <w:rFonts w:asciiTheme="majorHAnsi" w:hAnsiTheme="majorHAnsi" w:cs="Arial"/>
            <w:sz w:val="20"/>
            <w:szCs w:val="20"/>
          </w:rPr>
          <w:id w:val="-1037193096"/>
        </w:sdtPr>
        <w:sdtEndPr/>
        <w:sdtContent>
          <w:r w:rsidR="00DA23D0">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6140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23D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95F0A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23D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C7363C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97E7A">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51C7D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23D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1C7D52F" w14:textId="77777777" w:rsidR="00197E7A" w:rsidRDefault="00197E7A">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4DE0B79" w14:textId="77777777" w:rsidR="00DA23D0" w:rsidRDefault="00DA23D0"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7845"/>
          </w:tblGrid>
          <w:tr w:rsidR="006E781D" w:rsidRPr="00197E7A" w14:paraId="47663C93" w14:textId="77777777" w:rsidTr="00197E7A">
            <w:trPr>
              <w:trHeight w:val="317"/>
            </w:trPr>
            <w:tc>
              <w:tcPr>
                <w:tcW w:w="2952" w:type="dxa"/>
                <w:shd w:val="clear" w:color="auto" w:fill="auto"/>
              </w:tcPr>
              <w:p w14:paraId="7A83C036" w14:textId="77777777" w:rsidR="006E781D" w:rsidRPr="00197E7A" w:rsidRDefault="006E781D" w:rsidP="006E781D">
                <w:pPr>
                  <w:spacing w:after="0" w:line="240" w:lineRule="auto"/>
                  <w:jc w:val="center"/>
                  <w:rPr>
                    <w:rFonts w:asciiTheme="majorHAnsi" w:eastAsia="Times New Roman" w:hAnsiTheme="majorHAnsi" w:cs="Times New Roman"/>
                    <w:b/>
                    <w:sz w:val="20"/>
                    <w:szCs w:val="24"/>
                  </w:rPr>
                </w:pPr>
                <w:r w:rsidRPr="00197E7A">
                  <w:rPr>
                    <w:rFonts w:asciiTheme="majorHAnsi" w:eastAsia="Times New Roman" w:hAnsiTheme="majorHAnsi" w:cs="Times New Roman"/>
                    <w:b/>
                    <w:sz w:val="20"/>
                    <w:szCs w:val="24"/>
                  </w:rPr>
                  <w:t>DATE</w:t>
                </w:r>
              </w:p>
            </w:tc>
            <w:tc>
              <w:tcPr>
                <w:tcW w:w="7866" w:type="dxa"/>
                <w:shd w:val="clear" w:color="auto" w:fill="auto"/>
              </w:tcPr>
              <w:p w14:paraId="2B71CA2F" w14:textId="77777777" w:rsidR="006E781D" w:rsidRPr="00197E7A" w:rsidRDefault="006E781D" w:rsidP="006E781D">
                <w:pPr>
                  <w:spacing w:after="0" w:line="240" w:lineRule="auto"/>
                  <w:jc w:val="center"/>
                  <w:rPr>
                    <w:rFonts w:asciiTheme="majorHAnsi" w:eastAsia="Times New Roman" w:hAnsiTheme="majorHAnsi" w:cs="Times New Roman"/>
                    <w:b/>
                    <w:sz w:val="20"/>
                    <w:szCs w:val="24"/>
                  </w:rPr>
                </w:pPr>
                <w:r w:rsidRPr="00197E7A">
                  <w:rPr>
                    <w:rFonts w:asciiTheme="majorHAnsi" w:eastAsia="Times New Roman" w:hAnsiTheme="majorHAnsi" w:cs="Times New Roman"/>
                    <w:b/>
                    <w:sz w:val="20"/>
                    <w:szCs w:val="24"/>
                  </w:rPr>
                  <w:t>TOPIC</w:t>
                </w:r>
              </w:p>
            </w:tc>
          </w:tr>
          <w:tr w:rsidR="006E781D" w:rsidRPr="00197E7A" w14:paraId="40E840D1" w14:textId="77777777" w:rsidTr="00197E7A">
            <w:trPr>
              <w:trHeight w:val="317"/>
            </w:trPr>
            <w:tc>
              <w:tcPr>
                <w:tcW w:w="2952" w:type="dxa"/>
                <w:shd w:val="clear" w:color="auto" w:fill="auto"/>
              </w:tcPr>
              <w:p w14:paraId="382EA287"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w:t>
                </w:r>
              </w:p>
            </w:tc>
            <w:tc>
              <w:tcPr>
                <w:tcW w:w="7866" w:type="dxa"/>
                <w:shd w:val="clear" w:color="auto" w:fill="auto"/>
              </w:tcPr>
              <w:p w14:paraId="464E3230" w14:textId="30DCBA8C"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Course Syllabi, Introduction to Course</w:t>
                </w:r>
              </w:p>
            </w:tc>
          </w:tr>
          <w:tr w:rsidR="006E781D" w:rsidRPr="00197E7A" w14:paraId="7C78ED7C" w14:textId="77777777" w:rsidTr="00197E7A">
            <w:trPr>
              <w:trHeight w:val="317"/>
            </w:trPr>
            <w:tc>
              <w:tcPr>
                <w:tcW w:w="2952" w:type="dxa"/>
                <w:shd w:val="clear" w:color="auto" w:fill="auto"/>
              </w:tcPr>
              <w:p w14:paraId="34D07FC8" w14:textId="221C4055"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2</w:t>
                </w:r>
              </w:p>
            </w:tc>
            <w:tc>
              <w:tcPr>
                <w:tcW w:w="7866" w:type="dxa"/>
                <w:shd w:val="clear" w:color="auto" w:fill="auto"/>
              </w:tcPr>
              <w:p w14:paraId="3DC2FD37"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MMT/Goniometry Review Lower Extremity</w:t>
                </w:r>
              </w:p>
            </w:tc>
          </w:tr>
          <w:tr w:rsidR="006E781D" w:rsidRPr="00197E7A" w14:paraId="73996AF0" w14:textId="77777777" w:rsidTr="00197E7A">
            <w:trPr>
              <w:trHeight w:val="317"/>
            </w:trPr>
            <w:tc>
              <w:tcPr>
                <w:tcW w:w="2952" w:type="dxa"/>
                <w:shd w:val="clear" w:color="auto" w:fill="auto"/>
              </w:tcPr>
              <w:p w14:paraId="7A2883F6" w14:textId="4F379357"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3</w:t>
                </w:r>
              </w:p>
            </w:tc>
            <w:tc>
              <w:tcPr>
                <w:tcW w:w="7866" w:type="dxa"/>
                <w:shd w:val="clear" w:color="auto" w:fill="auto"/>
              </w:tcPr>
              <w:p w14:paraId="7F5B7B62"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Taping/Wrapping Review</w:t>
                </w:r>
              </w:p>
            </w:tc>
          </w:tr>
          <w:tr w:rsidR="006E781D" w:rsidRPr="00197E7A" w14:paraId="3A9B103C" w14:textId="77777777" w:rsidTr="00197E7A">
            <w:trPr>
              <w:trHeight w:val="317"/>
            </w:trPr>
            <w:tc>
              <w:tcPr>
                <w:tcW w:w="2952" w:type="dxa"/>
                <w:shd w:val="clear" w:color="auto" w:fill="auto"/>
              </w:tcPr>
              <w:p w14:paraId="5FA881A1"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4</w:t>
                </w:r>
              </w:p>
            </w:tc>
            <w:tc>
              <w:tcPr>
                <w:tcW w:w="7866" w:type="dxa"/>
                <w:shd w:val="clear" w:color="auto" w:fill="auto"/>
              </w:tcPr>
              <w:p w14:paraId="5E81F4D9"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Lower Extremity Review Ankle and Foot</w:t>
                </w:r>
              </w:p>
            </w:tc>
          </w:tr>
          <w:tr w:rsidR="006E781D" w:rsidRPr="00197E7A" w14:paraId="522CF6E8" w14:textId="77777777" w:rsidTr="00197E7A">
            <w:trPr>
              <w:trHeight w:val="317"/>
            </w:trPr>
            <w:tc>
              <w:tcPr>
                <w:tcW w:w="2952" w:type="dxa"/>
                <w:shd w:val="clear" w:color="auto" w:fill="auto"/>
              </w:tcPr>
              <w:p w14:paraId="1C9F8022" w14:textId="1EED5325"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5</w:t>
                </w:r>
              </w:p>
            </w:tc>
            <w:tc>
              <w:tcPr>
                <w:tcW w:w="7866" w:type="dxa"/>
                <w:shd w:val="clear" w:color="auto" w:fill="auto"/>
              </w:tcPr>
              <w:p w14:paraId="2E035DA9"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Lower Extremity Review Knee</w:t>
                </w:r>
              </w:p>
            </w:tc>
          </w:tr>
          <w:tr w:rsidR="006E781D" w:rsidRPr="00197E7A" w14:paraId="0F430C02" w14:textId="77777777" w:rsidTr="00197E7A">
            <w:trPr>
              <w:trHeight w:val="317"/>
            </w:trPr>
            <w:tc>
              <w:tcPr>
                <w:tcW w:w="2952" w:type="dxa"/>
                <w:shd w:val="clear" w:color="auto" w:fill="auto"/>
              </w:tcPr>
              <w:p w14:paraId="5029E700" w14:textId="119B7475"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6</w:t>
                </w:r>
              </w:p>
            </w:tc>
            <w:tc>
              <w:tcPr>
                <w:tcW w:w="7866" w:type="dxa"/>
                <w:shd w:val="clear" w:color="auto" w:fill="auto"/>
              </w:tcPr>
              <w:p w14:paraId="728FBC98"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Lower Extremity Review Hip, Thigh, Pelvis</w:t>
                </w:r>
              </w:p>
            </w:tc>
          </w:tr>
          <w:tr w:rsidR="006E781D" w:rsidRPr="00197E7A" w14:paraId="46345457" w14:textId="77777777" w:rsidTr="00197E7A">
            <w:trPr>
              <w:trHeight w:val="317"/>
            </w:trPr>
            <w:tc>
              <w:tcPr>
                <w:tcW w:w="2952" w:type="dxa"/>
                <w:shd w:val="clear" w:color="auto" w:fill="auto"/>
              </w:tcPr>
              <w:p w14:paraId="4B2E957F" w14:textId="13CF60F5"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7</w:t>
                </w:r>
              </w:p>
            </w:tc>
            <w:tc>
              <w:tcPr>
                <w:tcW w:w="7866" w:type="dxa"/>
                <w:shd w:val="clear" w:color="auto" w:fill="auto"/>
              </w:tcPr>
              <w:p w14:paraId="5529F8A2"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Evaluation of the Spine Review</w:t>
                </w:r>
              </w:p>
            </w:tc>
          </w:tr>
          <w:tr w:rsidR="006E781D" w:rsidRPr="00197E7A" w14:paraId="083C3D5D" w14:textId="77777777" w:rsidTr="00197E7A">
            <w:trPr>
              <w:trHeight w:val="317"/>
            </w:trPr>
            <w:tc>
              <w:tcPr>
                <w:tcW w:w="2952" w:type="dxa"/>
                <w:shd w:val="clear" w:color="auto" w:fill="auto"/>
              </w:tcPr>
              <w:p w14:paraId="373D5E81" w14:textId="15C7502D"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8</w:t>
                </w:r>
              </w:p>
            </w:tc>
            <w:tc>
              <w:tcPr>
                <w:tcW w:w="7866" w:type="dxa"/>
                <w:shd w:val="clear" w:color="auto" w:fill="auto"/>
              </w:tcPr>
              <w:p w14:paraId="485F39E1"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Therapeutic Modalities Review</w:t>
                </w:r>
              </w:p>
            </w:tc>
          </w:tr>
          <w:tr w:rsidR="006E781D" w:rsidRPr="00197E7A" w14:paraId="6727FF23" w14:textId="77777777" w:rsidTr="00197E7A">
            <w:trPr>
              <w:trHeight w:val="317"/>
            </w:trPr>
            <w:tc>
              <w:tcPr>
                <w:tcW w:w="2952" w:type="dxa"/>
                <w:shd w:val="clear" w:color="auto" w:fill="auto"/>
              </w:tcPr>
              <w:p w14:paraId="5DDA5A86" w14:textId="1A5B9887"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9</w:t>
                </w:r>
              </w:p>
            </w:tc>
            <w:tc>
              <w:tcPr>
                <w:tcW w:w="7866" w:type="dxa"/>
                <w:shd w:val="clear" w:color="auto" w:fill="auto"/>
              </w:tcPr>
              <w:p w14:paraId="1CCFB38E"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Therapeutic Modalities Review</w:t>
                </w:r>
              </w:p>
            </w:tc>
          </w:tr>
          <w:tr w:rsidR="006E781D" w:rsidRPr="00197E7A" w14:paraId="38519E72" w14:textId="77777777" w:rsidTr="00197E7A">
            <w:trPr>
              <w:trHeight w:val="317"/>
            </w:trPr>
            <w:tc>
              <w:tcPr>
                <w:tcW w:w="2952" w:type="dxa"/>
                <w:shd w:val="clear" w:color="auto" w:fill="auto"/>
              </w:tcPr>
              <w:p w14:paraId="6AF9D9B3" w14:textId="46F74623"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10</w:t>
                </w:r>
              </w:p>
            </w:tc>
            <w:tc>
              <w:tcPr>
                <w:tcW w:w="7866" w:type="dxa"/>
                <w:shd w:val="clear" w:color="auto" w:fill="auto"/>
              </w:tcPr>
              <w:p w14:paraId="0E218E02"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Emergency Scenarios</w:t>
                </w:r>
              </w:p>
            </w:tc>
          </w:tr>
          <w:tr w:rsidR="006E781D" w:rsidRPr="00197E7A" w14:paraId="07FB65BF" w14:textId="77777777" w:rsidTr="00197E7A">
            <w:trPr>
              <w:trHeight w:val="317"/>
            </w:trPr>
            <w:tc>
              <w:tcPr>
                <w:tcW w:w="2952" w:type="dxa"/>
                <w:shd w:val="clear" w:color="auto" w:fill="auto"/>
              </w:tcPr>
              <w:p w14:paraId="40D55FAD" w14:textId="174A976A"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11</w:t>
                </w:r>
              </w:p>
            </w:tc>
            <w:tc>
              <w:tcPr>
                <w:tcW w:w="7866" w:type="dxa"/>
                <w:shd w:val="clear" w:color="auto" w:fill="auto"/>
              </w:tcPr>
              <w:p w14:paraId="54C440EB"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Environmental Scenarios</w:t>
                </w:r>
              </w:p>
            </w:tc>
          </w:tr>
          <w:tr w:rsidR="006E781D" w:rsidRPr="00197E7A" w14:paraId="2C14D8E4" w14:textId="77777777" w:rsidTr="00197E7A">
            <w:trPr>
              <w:trHeight w:val="317"/>
            </w:trPr>
            <w:tc>
              <w:tcPr>
                <w:tcW w:w="2952" w:type="dxa"/>
                <w:shd w:val="clear" w:color="auto" w:fill="auto"/>
              </w:tcPr>
              <w:p w14:paraId="51C38450" w14:textId="239F8A29"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12</w:t>
                </w:r>
              </w:p>
            </w:tc>
            <w:tc>
              <w:tcPr>
                <w:tcW w:w="7866" w:type="dxa"/>
                <w:shd w:val="clear" w:color="auto" w:fill="auto"/>
              </w:tcPr>
              <w:p w14:paraId="54B7D936"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More Practice Scenarios</w:t>
                </w:r>
              </w:p>
            </w:tc>
          </w:tr>
          <w:tr w:rsidR="006E781D" w:rsidRPr="00197E7A" w14:paraId="58D25BFD" w14:textId="77777777" w:rsidTr="00197E7A">
            <w:trPr>
              <w:trHeight w:val="317"/>
            </w:trPr>
            <w:tc>
              <w:tcPr>
                <w:tcW w:w="2952" w:type="dxa"/>
                <w:shd w:val="clear" w:color="auto" w:fill="auto"/>
              </w:tcPr>
              <w:p w14:paraId="1A9D80D8" w14:textId="3A8419C4"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13</w:t>
                </w:r>
              </w:p>
            </w:tc>
            <w:tc>
              <w:tcPr>
                <w:tcW w:w="7866" w:type="dxa"/>
                <w:shd w:val="clear" w:color="auto" w:fill="auto"/>
              </w:tcPr>
              <w:p w14:paraId="276495C5"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Evidence Based Practice Review</w:t>
                </w:r>
              </w:p>
            </w:tc>
          </w:tr>
          <w:tr w:rsidR="006E781D" w:rsidRPr="00197E7A" w14:paraId="41801E46" w14:textId="77777777" w:rsidTr="00197E7A">
            <w:trPr>
              <w:trHeight w:val="317"/>
            </w:trPr>
            <w:tc>
              <w:tcPr>
                <w:tcW w:w="2952" w:type="dxa"/>
                <w:shd w:val="clear" w:color="auto" w:fill="auto"/>
              </w:tcPr>
              <w:p w14:paraId="77D31FAA" w14:textId="78DD49FE"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14</w:t>
                </w:r>
              </w:p>
            </w:tc>
            <w:tc>
              <w:tcPr>
                <w:tcW w:w="7866" w:type="dxa"/>
                <w:shd w:val="clear" w:color="auto" w:fill="auto"/>
              </w:tcPr>
              <w:p w14:paraId="7972BB15"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Evidence Based Practice Review</w:t>
                </w:r>
              </w:p>
            </w:tc>
          </w:tr>
          <w:tr w:rsidR="006E781D" w:rsidRPr="00197E7A" w14:paraId="65DD5449" w14:textId="77777777" w:rsidTr="00197E7A">
            <w:trPr>
              <w:trHeight w:val="317"/>
            </w:trPr>
            <w:tc>
              <w:tcPr>
                <w:tcW w:w="2952" w:type="dxa"/>
                <w:shd w:val="clear" w:color="auto" w:fill="auto"/>
              </w:tcPr>
              <w:p w14:paraId="4D5C2735" w14:textId="5C6C94A6" w:rsidR="006E781D" w:rsidRPr="00197E7A" w:rsidRDefault="006E781D" w:rsidP="00A2044B">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Week 15</w:t>
                </w:r>
              </w:p>
            </w:tc>
            <w:tc>
              <w:tcPr>
                <w:tcW w:w="7866" w:type="dxa"/>
                <w:shd w:val="clear" w:color="auto" w:fill="auto"/>
              </w:tcPr>
              <w:p w14:paraId="6358EF33" w14:textId="77777777" w:rsidR="006E781D" w:rsidRPr="00197E7A" w:rsidRDefault="006E781D" w:rsidP="006E781D">
                <w:pPr>
                  <w:spacing w:after="0" w:line="240" w:lineRule="auto"/>
                  <w:rPr>
                    <w:rFonts w:asciiTheme="majorHAnsi" w:eastAsia="Times New Roman" w:hAnsiTheme="majorHAnsi" w:cs="Times New Roman"/>
                    <w:sz w:val="20"/>
                    <w:szCs w:val="24"/>
                  </w:rPr>
                </w:pPr>
                <w:r w:rsidRPr="00197E7A">
                  <w:rPr>
                    <w:rFonts w:asciiTheme="majorHAnsi" w:eastAsia="Times New Roman" w:hAnsiTheme="majorHAnsi" w:cs="Times New Roman"/>
                    <w:sz w:val="20"/>
                    <w:szCs w:val="24"/>
                  </w:rPr>
                  <w:t>Final Exam to Be Scheduled</w:t>
                </w:r>
              </w:p>
            </w:tc>
          </w:tr>
        </w:tbl>
        <w:p w14:paraId="4C36B818" w14:textId="51A5A33E" w:rsidR="00A966C5" w:rsidRPr="008426D1" w:rsidRDefault="000C4E81"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0C4E81"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7941AB9" w:rsidR="00A966C5" w:rsidRPr="008426D1" w:rsidRDefault="002C67A5" w:rsidP="00A966C5">
          <w:pPr>
            <w:tabs>
              <w:tab w:val="left" w:pos="360"/>
              <w:tab w:val="left" w:pos="720"/>
            </w:tabs>
            <w:spacing w:after="0" w:line="240" w:lineRule="auto"/>
            <w:rPr>
              <w:rFonts w:asciiTheme="majorHAnsi" w:hAnsiTheme="majorHAnsi" w:cs="Arial"/>
              <w:sz w:val="20"/>
              <w:szCs w:val="20"/>
            </w:rPr>
          </w:pPr>
          <w:r w:rsidRPr="002C67A5">
            <w:rPr>
              <w:rFonts w:asciiTheme="majorHAnsi" w:hAnsiTheme="majorHAnsi" w:cs="Arial"/>
              <w:sz w:val="20"/>
              <w:szCs w:val="20"/>
            </w:rPr>
            <w:t>Week 1-9 are delivered on line and Week s10-15 are delivered face to face- this allows for immersion into the clinical rotations while the student completes review modules in an online environment; for the online review modules, students are asked to complete clinical skills with their assigned preceptor and will attain a signature from the preceptor verifying completion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639029041"/>
          </w:sdtPr>
          <w:sdtEndPr/>
          <w:sdtContent>
            <w:p w14:paraId="36745D5D" w14:textId="03DB9668" w:rsidR="00A966C5" w:rsidRPr="008426D1" w:rsidRDefault="009F7F4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18AEF2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8A3426">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58F92FE" w14:textId="0D87F76B" w:rsidR="0066260B" w:rsidRDefault="00DA23D0"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Athletic Training Students will review content and skills learned in the summer</w:t>
      </w:r>
      <w:r w:rsidR="006E781D">
        <w:rPr>
          <w:rFonts w:asciiTheme="majorHAnsi" w:hAnsiTheme="majorHAnsi" w:cs="Arial"/>
          <w:sz w:val="20"/>
          <w:szCs w:val="20"/>
        </w:rPr>
        <w:t xml:space="preserve"> and fall</w:t>
      </w:r>
      <w:r>
        <w:rPr>
          <w:rFonts w:asciiTheme="majorHAnsi" w:hAnsiTheme="majorHAnsi" w:cs="Arial"/>
          <w:sz w:val="20"/>
          <w:szCs w:val="20"/>
        </w:rPr>
        <w:t xml:space="preserve"> semester</w:t>
      </w:r>
      <w:r w:rsidR="006E781D">
        <w:rPr>
          <w:rFonts w:asciiTheme="majorHAnsi" w:hAnsiTheme="majorHAnsi" w:cs="Arial"/>
          <w:sz w:val="20"/>
          <w:szCs w:val="20"/>
        </w:rPr>
        <w:t>s</w:t>
      </w:r>
      <w:r>
        <w:rPr>
          <w:rFonts w:asciiTheme="majorHAnsi" w:hAnsiTheme="majorHAnsi" w:cs="Arial"/>
          <w:sz w:val="20"/>
          <w:szCs w:val="20"/>
        </w:rPr>
        <w:t xml:space="preserve"> prior to this course to facilitate learning over time. A large portion of this course will be spent in clinical rotations whereby students are required to work with clinical preceptors in the community to gain hands on experience working with a patient population. </w:t>
      </w:r>
    </w:p>
    <w:p w14:paraId="301FACA9" w14:textId="77777777" w:rsidR="00DA23D0" w:rsidRPr="008426D1" w:rsidRDefault="00DA23D0"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5C3460E8" w:rsidR="0066260B" w:rsidRPr="008426D1" w:rsidRDefault="0066260B" w:rsidP="00DA23D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The course contains educational competencies that are required to be met by the Commission on Accreditation of Athletic Training Education.</w:t>
          </w:r>
          <w:r w:rsidR="00DA23D0">
            <w:rPr>
              <w:rFonts w:asciiTheme="majorHAnsi" w:hAnsiTheme="majorHAnsi" w:cs="Arial"/>
              <w:sz w:val="20"/>
              <w:szCs w:val="20"/>
            </w:rPr>
            <w:t xml:space="preserve"> The course also helps the AT program meet the following accreditation standards: </w:t>
          </w:r>
          <w:r w:rsidR="00DA23D0" w:rsidRPr="00DA23D0">
            <w:rPr>
              <w:rFonts w:asciiTheme="majorHAnsi" w:hAnsiTheme="majorHAnsi" w:cs="Arial"/>
              <w:sz w:val="20"/>
              <w:szCs w:val="20"/>
            </w:rPr>
            <w:t>42. The content of the curriculum must include formal instruction in the current</w:t>
          </w:r>
          <w:r w:rsidR="00DA23D0">
            <w:rPr>
              <w:rFonts w:asciiTheme="majorHAnsi" w:hAnsiTheme="majorHAnsi" w:cs="Arial"/>
              <w:sz w:val="20"/>
              <w:szCs w:val="20"/>
            </w:rPr>
            <w:t xml:space="preserve"> </w:t>
          </w:r>
          <w:r w:rsidR="00DA23D0" w:rsidRPr="00DA23D0">
            <w:rPr>
              <w:rFonts w:asciiTheme="majorHAnsi" w:hAnsiTheme="majorHAnsi" w:cs="Arial"/>
              <w:sz w:val="20"/>
              <w:szCs w:val="20"/>
            </w:rPr>
            <w:t>version of the athletic training knowledge, skills, and abilities.</w:t>
          </w:r>
          <w:r w:rsidR="00DA23D0">
            <w:rPr>
              <w:rFonts w:asciiTheme="majorHAnsi" w:hAnsiTheme="majorHAnsi" w:cs="Arial"/>
              <w:sz w:val="20"/>
              <w:szCs w:val="20"/>
            </w:rPr>
            <w:t xml:space="preserve"> </w:t>
          </w:r>
          <w:r w:rsidR="00DA23D0" w:rsidRPr="00DA23D0">
            <w:rPr>
              <w:rFonts w:asciiTheme="majorHAnsi" w:hAnsiTheme="majorHAnsi" w:cs="Arial"/>
              <w:sz w:val="20"/>
              <w:szCs w:val="20"/>
            </w:rPr>
            <w:t xml:space="preserve">43. Formal instruction must involve teaching of required subject matter in structured classroom, </w:t>
          </w:r>
          <w:r w:rsidR="00DA23D0">
            <w:rPr>
              <w:rFonts w:asciiTheme="majorHAnsi" w:hAnsiTheme="majorHAnsi" w:cs="Arial"/>
              <w:sz w:val="20"/>
              <w:szCs w:val="20"/>
            </w:rPr>
            <w:t xml:space="preserve"> </w:t>
          </w:r>
          <w:r w:rsidR="00DA23D0" w:rsidRPr="00DA23D0">
            <w:rPr>
              <w:rFonts w:asciiTheme="majorHAnsi" w:hAnsiTheme="majorHAnsi" w:cs="Arial"/>
              <w:sz w:val="20"/>
              <w:szCs w:val="20"/>
            </w:rPr>
            <w:t>clinical, or laboratory environments.</w:t>
          </w:r>
          <w:r w:rsidR="00DA23D0">
            <w:rPr>
              <w:rFonts w:asciiTheme="majorHAnsi" w:hAnsiTheme="majorHAnsi" w:cs="Arial"/>
              <w:sz w:val="20"/>
              <w:szCs w:val="20"/>
            </w:rPr>
            <w:t xml:space="preserve"> </w:t>
          </w:r>
          <w:r w:rsidR="00DA23D0" w:rsidRPr="00DA23D0">
            <w:rPr>
              <w:rFonts w:asciiTheme="majorHAnsi" w:hAnsiTheme="majorHAnsi" w:cs="Arial"/>
              <w:sz w:val="20"/>
              <w:szCs w:val="20"/>
            </w:rPr>
            <w:t>44. Students must interact with other medical and health care personnel (see</w:t>
          </w:r>
          <w:r w:rsidR="00DA23D0">
            <w:rPr>
              <w:rFonts w:asciiTheme="majorHAnsi" w:hAnsiTheme="majorHAnsi" w:cs="Arial"/>
              <w:sz w:val="20"/>
              <w:szCs w:val="20"/>
            </w:rPr>
            <w:t xml:space="preserve"> </w:t>
          </w:r>
          <w:r w:rsidR="00DA23D0" w:rsidRPr="00DA23D0">
            <w:rPr>
              <w:rFonts w:asciiTheme="majorHAnsi" w:hAnsiTheme="majorHAnsi" w:cs="Arial"/>
              <w:sz w:val="20"/>
              <w:szCs w:val="20"/>
            </w:rPr>
            <w:t>glossary).</w:t>
          </w:r>
          <w:r w:rsidR="008D7736">
            <w:rPr>
              <w:rFonts w:asciiTheme="majorHAnsi" w:hAnsiTheme="majorHAnsi" w:cs="Arial"/>
              <w:sz w:val="20"/>
              <w:szCs w:val="20"/>
            </w:rPr>
            <w:t xml:space="preserve"> </w:t>
          </w:r>
          <w:r w:rsidR="00DA23D0">
            <w:rPr>
              <w:rFonts w:asciiTheme="majorHAnsi" w:hAnsiTheme="majorHAnsi" w:cs="Arial"/>
              <w:sz w:val="20"/>
              <w:szCs w:val="20"/>
            </w:rPr>
            <w:t xml:space="preserve">46. </w:t>
          </w:r>
          <w:r w:rsidR="00DA23D0" w:rsidRPr="00DA23D0">
            <w:rPr>
              <w:rFonts w:asciiTheme="majorHAnsi" w:hAnsiTheme="majorHAnsi" w:cs="Arial"/>
              <w:sz w:val="20"/>
              <w:szCs w:val="20"/>
            </w:rPr>
            <w:t>Clinical education must follow a logical progression that allows for increasing amounts of clinically supervised responsibility leading to autonomous practice upon graduation. The clinical education plan must reinforce the sequence of formal instruction of athletic training knowledge, skills, and clinical abilities, including clinical decision-making.</w:t>
          </w:r>
          <w:r w:rsidR="00DA23D0">
            <w:rPr>
              <w:rFonts w:asciiTheme="majorHAnsi" w:hAnsiTheme="majorHAnsi" w:cs="Arial"/>
              <w:sz w:val="20"/>
              <w:szCs w:val="20"/>
            </w:rPr>
            <w:t xml:space="preserve"> </w:t>
          </w:r>
          <w:r w:rsidR="00DA23D0" w:rsidRPr="00DA23D0">
            <w:rPr>
              <w:rFonts w:asciiTheme="majorHAnsi" w:hAnsiTheme="majorHAnsi" w:cs="Arial"/>
              <w:sz w:val="20"/>
              <w:szCs w:val="20"/>
            </w:rPr>
            <w:t>47. Clinical education must provide students with authentic, real-time opportunities to practice and integrate athletic training knowledge, skills, and clinical abilities, including decision-making and professional behaviors required of the profession in order to develop proficiency as an Athletic Trainer.</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07E6663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admitted to the M</w:t>
          </w:r>
          <w:r w:rsidR="00EB7C7E">
            <w:rPr>
              <w:rFonts w:asciiTheme="majorHAnsi" w:hAnsiTheme="majorHAnsi" w:cs="Arial"/>
              <w:sz w:val="20"/>
              <w:szCs w:val="20"/>
            </w:rPr>
            <w:t>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157757D"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A46ACE">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7777777" w:rsidR="00054918" w:rsidRPr="008426D1" w:rsidRDefault="000C4E81"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0C4E81"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0C4E81"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1520351D" w:rsidR="008D7736" w:rsidRPr="002F0E16" w:rsidRDefault="00694650"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0738B5DE" w14:textId="6B88521F" w:rsidR="00DA23D0" w:rsidRDefault="008D7736" w:rsidP="00DA23D0">
          <w:pPr>
            <w:pStyle w:val="NoSpacing"/>
          </w:pPr>
          <w:r>
            <w:t>Students will be able to:</w:t>
          </w:r>
          <w:r w:rsidR="00DA23D0" w:rsidRPr="00DA23D0">
            <w:t xml:space="preserve"> </w:t>
          </w:r>
        </w:p>
        <w:p w14:paraId="25A5B262" w14:textId="77777777" w:rsidR="00DA23D0" w:rsidRDefault="00DA23D0" w:rsidP="00DA23D0">
          <w:pPr>
            <w:pStyle w:val="NoSpacing"/>
          </w:pPr>
          <w:r>
            <w:t>1.</w:t>
          </w:r>
          <w:r>
            <w:tab/>
            <w:t>Demonstrate evidence based clinical practice and decision‐making in providing athletic training services</w:t>
          </w:r>
        </w:p>
        <w:p w14:paraId="60B91DEF" w14:textId="77777777" w:rsidR="00DA23D0" w:rsidRDefault="00DA23D0" w:rsidP="00DA23D0">
          <w:pPr>
            <w:pStyle w:val="NoSpacing"/>
          </w:pPr>
          <w:r>
            <w:t>2.</w:t>
          </w:r>
          <w:r>
            <w:tab/>
            <w:t>Demonstrate the importance of ethical decision-making in patient care decisions.</w:t>
          </w:r>
        </w:p>
        <w:p w14:paraId="38BE4CD7" w14:textId="77777777" w:rsidR="00DA23D0" w:rsidRDefault="00DA23D0" w:rsidP="00DA23D0">
          <w:pPr>
            <w:pStyle w:val="NoSpacing"/>
          </w:pPr>
          <w:r>
            <w:t>3.</w:t>
          </w:r>
          <w:r>
            <w:tab/>
            <w:t>Effectively communicate with patients, parents, supervisors, physicians, coaches, and peers.</w:t>
          </w:r>
          <w:r>
            <w:tab/>
          </w:r>
        </w:p>
        <w:p w14:paraId="65294043" w14:textId="7796A6F9" w:rsidR="008D7736" w:rsidRDefault="00DA23D0" w:rsidP="00DA23D0">
          <w:pPr>
            <w:pStyle w:val="NoSpacing"/>
          </w:pPr>
          <w:r>
            <w:t>4.</w:t>
          </w:r>
          <w:r>
            <w:tab/>
            <w:t>Recognize the role of athletic trainers as a healthcare provider as part of a multi-disciplinary team within the healthcare system.</w:t>
          </w:r>
        </w:p>
        <w:p w14:paraId="77964C95" w14:textId="5B6708DC" w:rsidR="00547433" w:rsidRPr="008426D1" w:rsidRDefault="000C4E81"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1E3AB7F3" w:rsidR="00F7007D" w:rsidRPr="002B453A" w:rsidRDefault="008D7736" w:rsidP="00DA23D0">
                <w:pPr>
                  <w:rPr>
                    <w:rFonts w:asciiTheme="majorHAnsi" w:hAnsiTheme="majorHAnsi"/>
                    <w:sz w:val="20"/>
                    <w:szCs w:val="20"/>
                  </w:rPr>
                </w:pPr>
                <w:r w:rsidRPr="008D7736">
                  <w:rPr>
                    <w:rFonts w:asciiTheme="majorHAnsi" w:hAnsiTheme="majorHAnsi"/>
                    <w:sz w:val="20"/>
                    <w:szCs w:val="20"/>
                  </w:rPr>
                  <w:t>1.</w:t>
                </w:r>
                <w:r w:rsidRPr="008D7736">
                  <w:rPr>
                    <w:rFonts w:asciiTheme="majorHAnsi" w:hAnsiTheme="majorHAnsi"/>
                    <w:sz w:val="20"/>
                    <w:szCs w:val="20"/>
                  </w:rPr>
                  <w:tab/>
                </w:r>
                <w:r w:rsidR="00DA23D0">
                  <w:t>Demonstrate evidence based clinical practice and decision‐making in providing athletic training services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2CAD0CB" w:rsidR="00F7007D" w:rsidRPr="002B453A" w:rsidRDefault="000C4E81" w:rsidP="00DA23D0">
            <w:pPr>
              <w:rPr>
                <w:rFonts w:asciiTheme="majorHAnsi" w:hAnsiTheme="majorHAnsi"/>
                <w:sz w:val="20"/>
                <w:szCs w:val="20"/>
              </w:rPr>
            </w:pPr>
            <w:sdt>
              <w:sdtPr>
                <w:rPr>
                  <w:rFonts w:asciiTheme="majorHAnsi" w:hAnsiTheme="majorHAnsi"/>
                  <w:sz w:val="20"/>
                  <w:szCs w:val="20"/>
                </w:rPr>
                <w:id w:val="-1294900252"/>
                <w:showingPlcHdr/>
                <w:text/>
              </w:sdtPr>
              <w:sdtEndPr/>
              <w:sdtContent>
                <w:r w:rsidR="00DA23D0">
                  <w:rPr>
                    <w:rFonts w:asciiTheme="majorHAnsi" w:hAnsiTheme="majorHAnsi"/>
                    <w:sz w:val="20"/>
                    <w:szCs w:val="20"/>
                  </w:rPr>
                  <w:t xml:space="preserve">     </w:t>
                </w:r>
              </w:sdtContent>
            </w:sdt>
            <w:r w:rsidR="00F7007D" w:rsidRPr="002B453A">
              <w:rPr>
                <w:rFonts w:asciiTheme="majorHAnsi" w:hAnsiTheme="majorHAnsi"/>
                <w:sz w:val="20"/>
                <w:szCs w:val="20"/>
              </w:rPr>
              <w:t xml:space="preserve"> </w:t>
            </w:r>
            <w:r w:rsidR="00DA23D0">
              <w:rPr>
                <w:rFonts w:asciiTheme="majorHAnsi" w:hAnsiTheme="majorHAnsi"/>
                <w:sz w:val="20"/>
                <w:szCs w:val="20"/>
              </w:rPr>
              <w:t>Class assignments; reflective journal, preceptor evaluation</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D974B1F" w:rsidR="00F7007D" w:rsidRPr="002B453A" w:rsidRDefault="006E781D" w:rsidP="006E781D">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weekly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623FC08D" w:rsidR="00F7007D" w:rsidRPr="00212A84" w:rsidRDefault="00DA23D0"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DAAD912" w14:textId="77777777" w:rsidTr="00E42E6F">
        <w:tc>
          <w:tcPr>
            <w:tcW w:w="2148" w:type="dxa"/>
          </w:tcPr>
          <w:p w14:paraId="404857C5" w14:textId="4EE6CDFC"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3749078" w:rsidR="008D7736" w:rsidRPr="002B453A" w:rsidRDefault="008D7736" w:rsidP="00E42E6F">
                <w:pPr>
                  <w:rPr>
                    <w:rFonts w:asciiTheme="majorHAnsi" w:hAnsiTheme="majorHAnsi"/>
                    <w:sz w:val="20"/>
                    <w:szCs w:val="20"/>
                  </w:rPr>
                </w:pPr>
                <w:r>
                  <w:rPr>
                    <w:rFonts w:asciiTheme="majorHAnsi" w:hAnsiTheme="majorHAnsi"/>
                    <w:sz w:val="20"/>
                    <w:szCs w:val="20"/>
                  </w:rPr>
                  <w:t>2</w:t>
                </w:r>
                <w:r w:rsidRPr="008D7736">
                  <w:rPr>
                    <w:rFonts w:asciiTheme="majorHAnsi" w:hAnsiTheme="majorHAnsi"/>
                    <w:sz w:val="20"/>
                    <w:szCs w:val="20"/>
                  </w:rPr>
                  <w:t>.</w:t>
                </w:r>
                <w:r w:rsidRPr="008D7736">
                  <w:rPr>
                    <w:rFonts w:asciiTheme="majorHAnsi" w:hAnsiTheme="majorHAnsi"/>
                    <w:sz w:val="20"/>
                    <w:szCs w:val="20"/>
                  </w:rPr>
                  <w:tab/>
                </w:r>
                <w:r w:rsidR="00DA23D0" w:rsidRPr="00DA23D0">
                  <w:rPr>
                    <w:rFonts w:asciiTheme="majorHAnsi" w:hAnsiTheme="majorHAnsi"/>
                    <w:sz w:val="20"/>
                    <w:szCs w:val="20"/>
                  </w:rPr>
                  <w:t>Demonstrate the importance of ethical decision-making in patient care decisions</w:t>
                </w:r>
              </w:p>
            </w:tc>
          </w:sdtContent>
        </w:sdt>
      </w:tr>
      <w:tr w:rsidR="008D7736" w:rsidRPr="002B453A" w14:paraId="140E1BCA" w14:textId="77777777" w:rsidTr="00E42E6F">
        <w:tc>
          <w:tcPr>
            <w:tcW w:w="2148" w:type="dxa"/>
          </w:tcPr>
          <w:p w14:paraId="6E562E3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2461EED7" w:rsidR="008D7736" w:rsidRPr="002B453A" w:rsidRDefault="000C4E81" w:rsidP="00E42E6F">
            <w:pPr>
              <w:rPr>
                <w:rFonts w:asciiTheme="majorHAnsi" w:hAnsiTheme="majorHAnsi"/>
                <w:sz w:val="20"/>
                <w:szCs w:val="20"/>
              </w:rPr>
            </w:pPr>
            <w:sdt>
              <w:sdtPr>
                <w:rPr>
                  <w:rFonts w:ascii="Cambria" w:hAnsi="Cambria"/>
                  <w:sz w:val="20"/>
                  <w:szCs w:val="20"/>
                </w:rPr>
                <w:id w:val="1616023991"/>
                <w:text/>
              </w:sdtPr>
              <w:sdtEndPr/>
              <w:sdtContent>
                <w:r w:rsidR="00DA23D0" w:rsidRPr="00DA23D0">
                  <w:rPr>
                    <w:rFonts w:ascii="Cambria" w:hAnsi="Cambria"/>
                    <w:sz w:val="20"/>
                    <w:szCs w:val="20"/>
                  </w:rPr>
                  <w:t>Class assignments; reflective journal, preceptor evaluation</w:t>
                </w:r>
              </w:sdtContent>
            </w:sdt>
            <w:r w:rsidR="008D7736" w:rsidRPr="002B453A">
              <w:rPr>
                <w:rFonts w:asciiTheme="majorHAnsi" w:hAnsiTheme="majorHAnsi"/>
                <w:sz w:val="20"/>
                <w:szCs w:val="20"/>
              </w:rPr>
              <w:t xml:space="preserve"> </w:t>
            </w:r>
          </w:p>
        </w:tc>
      </w:tr>
      <w:tr w:rsidR="008D7736" w:rsidRPr="002B453A" w14:paraId="2E5C988A" w14:textId="77777777" w:rsidTr="00E42E6F">
        <w:tc>
          <w:tcPr>
            <w:tcW w:w="2148" w:type="dxa"/>
          </w:tcPr>
          <w:p w14:paraId="7C4CCFF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57C4824C" w:rsidR="008D7736" w:rsidRPr="002B453A" w:rsidRDefault="006E781D" w:rsidP="006E781D">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weekly</w:t>
                </w:r>
              </w:p>
            </w:tc>
          </w:sdtContent>
        </w:sdt>
      </w:tr>
      <w:tr w:rsidR="008D7736" w:rsidRPr="00212A84" w14:paraId="51040C26" w14:textId="77777777" w:rsidTr="00E42E6F">
        <w:tc>
          <w:tcPr>
            <w:tcW w:w="2148" w:type="dxa"/>
          </w:tcPr>
          <w:p w14:paraId="3154ACF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68D1838F"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66B4DE40" w14:textId="77777777" w:rsidTr="00E42E6F">
        <w:tc>
          <w:tcPr>
            <w:tcW w:w="2148" w:type="dxa"/>
          </w:tcPr>
          <w:p w14:paraId="4A663BCF" w14:textId="620A6FBE"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4F115348" w14:textId="47D3DD5D" w:rsidR="008D7736" w:rsidRPr="00DA23D0" w:rsidRDefault="00DA23D0" w:rsidP="00DA23D0">
                <w:pPr>
                  <w:pStyle w:val="ListParagraph"/>
                  <w:numPr>
                    <w:ilvl w:val="0"/>
                    <w:numId w:val="15"/>
                  </w:numPr>
                  <w:rPr>
                    <w:rFonts w:asciiTheme="majorHAnsi" w:hAnsiTheme="majorHAnsi"/>
                    <w:sz w:val="20"/>
                    <w:szCs w:val="20"/>
                  </w:rPr>
                </w:pPr>
                <w:r w:rsidRPr="00DA23D0">
                  <w:rPr>
                    <w:rFonts w:eastAsia="Times New Roman"/>
                  </w:rPr>
                  <w:t>Effectively communicate with patients, parents, supervisors, physicians, coaches, and peers.</w:t>
                </w:r>
              </w:p>
            </w:tc>
          </w:sdtContent>
        </w:sdt>
      </w:tr>
      <w:tr w:rsidR="008D7736" w:rsidRPr="002B453A" w14:paraId="2A15EEB1" w14:textId="77777777" w:rsidTr="00E42E6F">
        <w:tc>
          <w:tcPr>
            <w:tcW w:w="2148" w:type="dxa"/>
          </w:tcPr>
          <w:p w14:paraId="43BF291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17B23E45" w:rsidR="008D7736" w:rsidRPr="002B453A" w:rsidRDefault="000C4E81" w:rsidP="00DA23D0">
            <w:pPr>
              <w:rPr>
                <w:rFonts w:asciiTheme="majorHAnsi" w:hAnsiTheme="majorHAnsi"/>
                <w:sz w:val="20"/>
                <w:szCs w:val="20"/>
              </w:rPr>
            </w:pPr>
            <w:sdt>
              <w:sdtPr>
                <w:rPr>
                  <w:rFonts w:asciiTheme="majorHAnsi" w:hAnsiTheme="majorHAnsi"/>
                  <w:sz w:val="20"/>
                  <w:szCs w:val="20"/>
                </w:rPr>
                <w:id w:val="-2003732829"/>
                <w:text/>
              </w:sdtPr>
              <w:sdtEndPr/>
              <w:sdtContent>
                <w:r w:rsidR="00DA23D0">
                  <w:rPr>
                    <w:rFonts w:asciiTheme="majorHAnsi" w:hAnsiTheme="majorHAnsi"/>
                    <w:sz w:val="20"/>
                    <w:szCs w:val="20"/>
                  </w:rPr>
                  <w:t>Reflective journals, final practical exam, preceptor evaluations</w:t>
                </w:r>
              </w:sdtContent>
            </w:sdt>
            <w:r w:rsidR="008D7736" w:rsidRPr="002B453A">
              <w:rPr>
                <w:rFonts w:asciiTheme="majorHAnsi" w:hAnsiTheme="majorHAnsi"/>
                <w:sz w:val="20"/>
                <w:szCs w:val="20"/>
              </w:rPr>
              <w:t xml:space="preserve"> </w:t>
            </w:r>
          </w:p>
        </w:tc>
      </w:tr>
      <w:tr w:rsidR="008D7736" w:rsidRPr="002B453A" w14:paraId="42A61E90" w14:textId="77777777" w:rsidTr="00E42E6F">
        <w:tc>
          <w:tcPr>
            <w:tcW w:w="2148" w:type="dxa"/>
          </w:tcPr>
          <w:p w14:paraId="2672D7B7"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4D02CB8F" w:rsidR="008D7736" w:rsidRPr="002B453A" w:rsidRDefault="006E781D" w:rsidP="006E781D">
                <w:pPr>
                  <w:rPr>
                    <w:rFonts w:asciiTheme="majorHAnsi" w:hAnsiTheme="majorHAnsi"/>
                    <w:sz w:val="20"/>
                    <w:szCs w:val="20"/>
                  </w:rPr>
                </w:pPr>
                <w:r>
                  <w:rPr>
                    <w:rFonts w:asciiTheme="majorHAnsi" w:hAnsiTheme="majorHAnsi"/>
                    <w:sz w:val="20"/>
                    <w:szCs w:val="20"/>
                  </w:rPr>
                  <w:t>Spring</w:t>
                </w:r>
                <w:r w:rsidR="00DA23D0">
                  <w:rPr>
                    <w:rFonts w:asciiTheme="majorHAnsi" w:hAnsiTheme="majorHAnsi"/>
                    <w:sz w:val="20"/>
                    <w:szCs w:val="20"/>
                  </w:rPr>
                  <w:t>- Bi-Monthly</w:t>
                </w:r>
              </w:p>
            </w:tc>
          </w:sdtContent>
        </w:sdt>
      </w:tr>
      <w:tr w:rsidR="008D7736" w:rsidRPr="00212A84" w14:paraId="446EF514" w14:textId="77777777" w:rsidTr="00E42E6F">
        <w:tc>
          <w:tcPr>
            <w:tcW w:w="2148" w:type="dxa"/>
          </w:tcPr>
          <w:p w14:paraId="79EF48D6"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4E157E2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Clinical</w:t>
            </w:r>
            <w:r w:rsidR="008D7736">
              <w:rPr>
                <w:rFonts w:asciiTheme="majorHAnsi" w:hAnsiTheme="majorHAnsi"/>
                <w:color w:val="808080" w:themeColor="background1" w:themeShade="80"/>
                <w:sz w:val="20"/>
                <w:szCs w:val="20"/>
              </w:rPr>
              <w:t xml:space="preserve"> Director</w:t>
            </w:r>
          </w:p>
        </w:tc>
      </w:tr>
      <w:tr w:rsidR="008D7736" w:rsidRPr="002B453A" w14:paraId="062744C6" w14:textId="77777777" w:rsidTr="00E42E6F">
        <w:tc>
          <w:tcPr>
            <w:tcW w:w="2148" w:type="dxa"/>
          </w:tcPr>
          <w:p w14:paraId="5D58FEBA" w14:textId="54072666"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548AEF6E" w:rsidR="008D7736" w:rsidRPr="008D7736" w:rsidRDefault="00DA23D0" w:rsidP="008D7736">
                <w:pPr>
                  <w:pStyle w:val="ListParagraph"/>
                  <w:numPr>
                    <w:ilvl w:val="0"/>
                    <w:numId w:val="15"/>
                  </w:numPr>
                  <w:rPr>
                    <w:rFonts w:asciiTheme="majorHAnsi" w:hAnsiTheme="majorHAnsi"/>
                    <w:sz w:val="20"/>
                    <w:szCs w:val="20"/>
                  </w:rPr>
                </w:pPr>
                <w:r w:rsidRPr="00DA23D0">
                  <w:rPr>
                    <w:rFonts w:asciiTheme="majorHAnsi" w:hAnsiTheme="majorHAnsi"/>
                    <w:sz w:val="20"/>
                    <w:szCs w:val="20"/>
                  </w:rPr>
                  <w:t>Recognize the role of athletic trainers as a healthcare provider as part of a multi-disciplinary team within the healthcare system</w:t>
                </w:r>
              </w:p>
            </w:tc>
          </w:sdtContent>
        </w:sdt>
      </w:tr>
      <w:tr w:rsidR="008D7736" w:rsidRPr="002B453A" w14:paraId="368FAB2E" w14:textId="77777777" w:rsidTr="00E42E6F">
        <w:tc>
          <w:tcPr>
            <w:tcW w:w="2148" w:type="dxa"/>
          </w:tcPr>
          <w:p w14:paraId="2B86049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3FE47526" w:rsidR="008D7736" w:rsidRPr="002B453A" w:rsidRDefault="000C4E81" w:rsidP="00E42E6F">
            <w:pPr>
              <w:rPr>
                <w:rFonts w:asciiTheme="majorHAnsi" w:hAnsiTheme="majorHAnsi"/>
                <w:sz w:val="20"/>
                <w:szCs w:val="20"/>
              </w:rPr>
            </w:pPr>
            <w:sdt>
              <w:sdtPr>
                <w:rPr>
                  <w:rFonts w:asciiTheme="majorHAnsi" w:hAnsiTheme="majorHAnsi"/>
                  <w:sz w:val="20"/>
                  <w:szCs w:val="20"/>
                </w:rPr>
                <w:id w:val="1537157451"/>
                <w:text/>
              </w:sdtPr>
              <w:sdtEndPr/>
              <w:sdtContent>
                <w:r w:rsidR="00DA23D0">
                  <w:rPr>
                    <w:rFonts w:asciiTheme="majorHAnsi" w:hAnsiTheme="majorHAnsi"/>
                    <w:sz w:val="20"/>
                    <w:szCs w:val="20"/>
                  </w:rPr>
                  <w:t>Reflective journals, final practical exam, preceptor evaluations</w:t>
                </w:r>
              </w:sdtContent>
            </w:sdt>
          </w:p>
        </w:tc>
      </w:tr>
      <w:tr w:rsidR="008D7736" w:rsidRPr="002B453A" w14:paraId="1EAACED2" w14:textId="77777777" w:rsidTr="00E42E6F">
        <w:tc>
          <w:tcPr>
            <w:tcW w:w="2148" w:type="dxa"/>
          </w:tcPr>
          <w:p w14:paraId="40A6D47C"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Timetable</w:t>
            </w:r>
          </w:p>
        </w:tc>
        <w:tc>
          <w:tcPr>
            <w:tcW w:w="7428" w:type="dxa"/>
          </w:tcPr>
          <w:p w14:paraId="38548CD0" w14:textId="19E78C46" w:rsidR="008D7736" w:rsidRPr="002B453A" w:rsidRDefault="006E781D" w:rsidP="00DA23D0">
            <w:pPr>
              <w:rPr>
                <w:rFonts w:asciiTheme="majorHAnsi" w:hAnsiTheme="majorHAnsi"/>
                <w:sz w:val="20"/>
                <w:szCs w:val="20"/>
              </w:rPr>
            </w:pPr>
            <w:r>
              <w:rPr>
                <w:rFonts w:asciiTheme="majorHAnsi" w:hAnsiTheme="majorHAnsi"/>
                <w:sz w:val="20"/>
                <w:szCs w:val="20"/>
              </w:rPr>
              <w:t>Spring</w:t>
            </w:r>
            <w:r w:rsidR="00DA23D0">
              <w:rPr>
                <w:rFonts w:asciiTheme="majorHAnsi" w:hAnsiTheme="majorHAnsi"/>
                <w:sz w:val="20"/>
                <w:szCs w:val="20"/>
              </w:rPr>
              <w:t xml:space="preserve"> Bi-Monthly</w:t>
            </w:r>
          </w:p>
        </w:tc>
      </w:tr>
      <w:tr w:rsidR="008D7736" w:rsidRPr="00212A84" w14:paraId="59936853" w14:textId="77777777" w:rsidTr="00E42E6F">
        <w:tc>
          <w:tcPr>
            <w:tcW w:w="2148" w:type="dxa"/>
          </w:tcPr>
          <w:p w14:paraId="19CD1E2A"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3A4FCBF6" w:rsidR="008D7736" w:rsidRPr="00212A84" w:rsidRDefault="00DA23D0" w:rsidP="00E42E6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w:t>
            </w:r>
            <w:r w:rsidR="008D7736">
              <w:rPr>
                <w:rFonts w:asciiTheme="majorHAnsi" w:hAnsiTheme="majorHAnsi"/>
                <w:color w:val="808080" w:themeColor="background1" w:themeShade="80"/>
                <w:sz w:val="20"/>
                <w:szCs w:val="20"/>
              </w:rPr>
              <w:t>Director</w:t>
            </w:r>
          </w:p>
        </w:tc>
      </w:tr>
    </w:tbl>
    <w:p w14:paraId="0E3123E5" w14:textId="77777777" w:rsidR="008D7736" w:rsidRDefault="008D7736" w:rsidP="00575870">
      <w:pPr>
        <w:rPr>
          <w:rFonts w:asciiTheme="majorHAnsi" w:hAnsiTheme="majorHAnsi" w:cs="Arial"/>
          <w:i/>
          <w:sz w:val="20"/>
          <w:szCs w:val="20"/>
        </w:rPr>
      </w:pPr>
    </w:p>
    <w:p w14:paraId="687E17E5" w14:textId="6A385960" w:rsidR="00C334FF" w:rsidRDefault="00575870" w:rsidP="00575870">
      <w:pPr>
        <w:rPr>
          <w:rFonts w:asciiTheme="majorHAnsi" w:hAnsiTheme="majorHAnsi" w:cs="Arial"/>
          <w:b/>
          <w:u w:val="single"/>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C896E90" w:rsidR="00575870" w:rsidRPr="002B453A" w:rsidRDefault="006E781D" w:rsidP="00575870">
                <w:pPr>
                  <w:rPr>
                    <w:rFonts w:asciiTheme="majorHAnsi" w:hAnsiTheme="majorHAnsi"/>
                    <w:sz w:val="20"/>
                    <w:szCs w:val="20"/>
                  </w:rPr>
                </w:pPr>
                <w:r w:rsidRPr="006E781D">
                  <w:rPr>
                    <w:rFonts w:asciiTheme="majorHAnsi" w:hAnsiTheme="majorHAnsi"/>
                    <w:sz w:val="20"/>
                    <w:szCs w:val="20"/>
                  </w:rPr>
                  <w:t>Perform a comprehensive clinical examination of a patient with a lower extremity and/or spine injury or condition. This exam should incorporate clinical reasoning in the selection of assessment procedures and interpretation of findings in order to formulate a differential diagnosis and/or diagnosis, determine underlying impairments, and identify activity limitations and participation restrictions. Based on the assessment data and consideration of the patient's goals, provide the appropriate initial care and establish overall treatment goals. Create and implement a therapeutic intervention that targets these treatment goals to include, as appropriate, therapeutic modalities.  Integrate and interpret various forms of standardized documentation including both patient-oriented and clinician-oriented outcomes measures to recommend activity level, make return to play decisions, and maximize patient outcomes and progress in the treatment plan.</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0386055" w:rsidR="00575870" w:rsidRPr="002B453A" w:rsidRDefault="00DA23D0" w:rsidP="00DA23D0">
                <w:pPr>
                  <w:rPr>
                    <w:rFonts w:asciiTheme="majorHAnsi" w:hAnsiTheme="majorHAnsi"/>
                    <w:sz w:val="20"/>
                    <w:szCs w:val="20"/>
                  </w:rPr>
                </w:pPr>
                <w:r>
                  <w:rPr>
                    <w:rFonts w:asciiTheme="majorHAnsi" w:hAnsiTheme="majorHAnsi"/>
                    <w:sz w:val="20"/>
                    <w:szCs w:val="20"/>
                  </w:rPr>
                  <w:t>Scenarios, skill practice in class, clinical experience, case report, practical exam</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4E78219" w:rsidR="00CB2125" w:rsidRPr="002B453A" w:rsidRDefault="000C4E81" w:rsidP="00DA23D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r w:rsidR="00CB2125" w:rsidRPr="00CB2125">
                  <w:rPr>
                    <w:rFonts w:asciiTheme="majorHAnsi" w:hAnsiTheme="majorHAnsi"/>
                    <w:color w:val="808080" w:themeColor="background1" w:themeShade="80"/>
                    <w:sz w:val="20"/>
                    <w:szCs w:val="20"/>
                  </w:rPr>
                  <w:t xml:space="preserve"> </w:t>
                </w:r>
              </w:sdtContent>
            </w:sdt>
          </w:p>
        </w:tc>
      </w:tr>
    </w:tbl>
    <w:p w14:paraId="672382F7" w14:textId="30055476" w:rsidR="00DA23D0" w:rsidRPr="008426D1" w:rsidRDefault="00DA23D0"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A23D0" w:rsidRPr="002B453A" w14:paraId="484E85BC" w14:textId="77777777" w:rsidTr="00567C5D">
        <w:tc>
          <w:tcPr>
            <w:tcW w:w="2148" w:type="dxa"/>
          </w:tcPr>
          <w:p w14:paraId="0D43FF2F" w14:textId="56AAFE0F"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2</w:t>
            </w:r>
          </w:p>
          <w:p w14:paraId="04A15EB5"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329123192"/>
          </w:sdtPr>
          <w:sdtEndPr/>
          <w:sdtContent>
            <w:tc>
              <w:tcPr>
                <w:tcW w:w="7428" w:type="dxa"/>
              </w:tcPr>
              <w:p w14:paraId="3DBAF4CF" w14:textId="3FA96B4E" w:rsidR="00DA23D0" w:rsidRPr="002B453A" w:rsidRDefault="006E781D" w:rsidP="00567C5D">
                <w:pPr>
                  <w:rPr>
                    <w:rFonts w:asciiTheme="majorHAnsi" w:hAnsiTheme="majorHAnsi"/>
                    <w:sz w:val="20"/>
                    <w:szCs w:val="20"/>
                  </w:rPr>
                </w:pPr>
                <w:r w:rsidRPr="006E781D">
                  <w:rPr>
                    <w:rFonts w:asciiTheme="majorHAnsi" w:hAnsiTheme="majorHAnsi"/>
                    <w:sz w:val="20"/>
                    <w:szCs w:val="20"/>
                  </w:rPr>
                  <w:t>Clinically evaluate and manage a patient with an emergency injury or condition to include the assessment of vital signs and level of consciousness, activation of emergency action plan, secondary assessment, diagnosis, and provision of the appropriate emergency care (eg, CPR, AED, supplemental oxygen, airway adjunct, splinting, spinal stabilization, control of bleeding).</w:t>
                </w:r>
              </w:p>
            </w:tc>
          </w:sdtContent>
        </w:sdt>
      </w:tr>
      <w:tr w:rsidR="00DA23D0" w:rsidRPr="002B453A" w14:paraId="060EE219" w14:textId="77777777" w:rsidTr="00567C5D">
        <w:tc>
          <w:tcPr>
            <w:tcW w:w="2148" w:type="dxa"/>
          </w:tcPr>
          <w:p w14:paraId="076D63A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7417894"/>
          </w:sdtPr>
          <w:sdtEndPr/>
          <w:sdtContent>
            <w:tc>
              <w:tcPr>
                <w:tcW w:w="7428" w:type="dxa"/>
              </w:tcPr>
              <w:p w14:paraId="0A94B5CB" w14:textId="2AF6BC9B" w:rsidR="00DA23D0" w:rsidRPr="002B453A" w:rsidRDefault="00DA23D0"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DA23D0" w:rsidRPr="002B453A" w14:paraId="6112F9C8" w14:textId="77777777" w:rsidTr="00567C5D">
        <w:tc>
          <w:tcPr>
            <w:tcW w:w="2148" w:type="dxa"/>
          </w:tcPr>
          <w:p w14:paraId="04049926"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F7405E5" w14:textId="50B7471E" w:rsidR="00DA23D0" w:rsidRPr="002B453A" w:rsidRDefault="000C4E81" w:rsidP="00567C5D">
            <w:pPr>
              <w:rPr>
                <w:rFonts w:asciiTheme="majorHAnsi" w:hAnsiTheme="majorHAnsi"/>
                <w:sz w:val="20"/>
                <w:szCs w:val="20"/>
              </w:rPr>
            </w:pPr>
            <w:sdt>
              <w:sdtPr>
                <w:rPr>
                  <w:rFonts w:asciiTheme="majorHAnsi" w:hAnsiTheme="majorHAnsi"/>
                  <w:color w:val="808080" w:themeColor="background1" w:themeShade="80"/>
                  <w:sz w:val="20"/>
                  <w:szCs w:val="20"/>
                </w:rPr>
                <w:id w:val="-1460641226"/>
                <w:text/>
              </w:sdtPr>
              <w:sdtEndPr/>
              <w:sdtContent>
                <w:r w:rsidR="00DA23D0"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bl>
    <w:p w14:paraId="0EC9A8CC" w14:textId="64D1FEA9"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4C8F9C6A"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197E7A">
      <w:headerReference w:type="default" r:id="rId14"/>
      <w:footerReference w:type="even" r:id="rId15"/>
      <w:footerReference w:type="default" r:id="rId16"/>
      <w:pgSz w:w="12240" w:h="15840" w:code="1"/>
      <w:pgMar w:top="144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DF21" w14:textId="77777777" w:rsidR="00BF41B3" w:rsidRDefault="00BF41B3" w:rsidP="00AF3758">
      <w:pPr>
        <w:spacing w:after="0" w:line="240" w:lineRule="auto"/>
      </w:pPr>
      <w:r>
        <w:separator/>
      </w:r>
    </w:p>
  </w:endnote>
  <w:endnote w:type="continuationSeparator" w:id="0">
    <w:p w14:paraId="3E879F71" w14:textId="77777777" w:rsidR="00BF41B3" w:rsidRDefault="00BF41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E81">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9483" w14:textId="77777777" w:rsidR="00BF41B3" w:rsidRDefault="00BF41B3" w:rsidP="00AF3758">
      <w:pPr>
        <w:spacing w:after="0" w:line="240" w:lineRule="auto"/>
      </w:pPr>
      <w:r>
        <w:separator/>
      </w:r>
    </w:p>
  </w:footnote>
  <w:footnote w:type="continuationSeparator" w:id="0">
    <w:p w14:paraId="765B6267" w14:textId="77777777" w:rsidR="00BF41B3" w:rsidRDefault="00BF41B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C4E81"/>
    <w:rsid w:val="000D06F1"/>
    <w:rsid w:val="000E0BB8"/>
    <w:rsid w:val="00101FF4"/>
    <w:rsid w:val="00103070"/>
    <w:rsid w:val="00150E96"/>
    <w:rsid w:val="00151451"/>
    <w:rsid w:val="0015536A"/>
    <w:rsid w:val="00156679"/>
    <w:rsid w:val="00185D67"/>
    <w:rsid w:val="00197E7A"/>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67A5"/>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95156"/>
    <w:rsid w:val="005C493D"/>
    <w:rsid w:val="005E7E4B"/>
    <w:rsid w:val="005F41DD"/>
    <w:rsid w:val="00606EE4"/>
    <w:rsid w:val="00610022"/>
    <w:rsid w:val="006179CB"/>
    <w:rsid w:val="00636DB3"/>
    <w:rsid w:val="00641E0F"/>
    <w:rsid w:val="00661D25"/>
    <w:rsid w:val="0066260B"/>
    <w:rsid w:val="006657FB"/>
    <w:rsid w:val="00671EAA"/>
    <w:rsid w:val="00677A48"/>
    <w:rsid w:val="00691664"/>
    <w:rsid w:val="00694650"/>
    <w:rsid w:val="006B52C0"/>
    <w:rsid w:val="006C0168"/>
    <w:rsid w:val="006D0246"/>
    <w:rsid w:val="006E6117"/>
    <w:rsid w:val="006E781D"/>
    <w:rsid w:val="00707894"/>
    <w:rsid w:val="00712045"/>
    <w:rsid w:val="007227F4"/>
    <w:rsid w:val="0073025F"/>
    <w:rsid w:val="0073125A"/>
    <w:rsid w:val="00750AF6"/>
    <w:rsid w:val="007658AF"/>
    <w:rsid w:val="007A0214"/>
    <w:rsid w:val="007A06B9"/>
    <w:rsid w:val="007D371A"/>
    <w:rsid w:val="008143DE"/>
    <w:rsid w:val="0083170D"/>
    <w:rsid w:val="008426D1"/>
    <w:rsid w:val="008663CA"/>
    <w:rsid w:val="00895557"/>
    <w:rsid w:val="008A3426"/>
    <w:rsid w:val="008C3CDE"/>
    <w:rsid w:val="008C703B"/>
    <w:rsid w:val="008D7736"/>
    <w:rsid w:val="008E6C1C"/>
    <w:rsid w:val="00903AB9"/>
    <w:rsid w:val="009053D1"/>
    <w:rsid w:val="00916FCA"/>
    <w:rsid w:val="009606DA"/>
    <w:rsid w:val="00962018"/>
    <w:rsid w:val="00983ADC"/>
    <w:rsid w:val="00984490"/>
    <w:rsid w:val="009A529F"/>
    <w:rsid w:val="009D5991"/>
    <w:rsid w:val="009F7F4E"/>
    <w:rsid w:val="00A01035"/>
    <w:rsid w:val="00A0329C"/>
    <w:rsid w:val="00A16BB1"/>
    <w:rsid w:val="00A2044B"/>
    <w:rsid w:val="00A46ACE"/>
    <w:rsid w:val="00A5089E"/>
    <w:rsid w:val="00A56D36"/>
    <w:rsid w:val="00A6370B"/>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A480E"/>
    <w:rsid w:val="00BD623D"/>
    <w:rsid w:val="00BE069E"/>
    <w:rsid w:val="00BF41B3"/>
    <w:rsid w:val="00BF6FF6"/>
    <w:rsid w:val="00C002F9"/>
    <w:rsid w:val="00C12816"/>
    <w:rsid w:val="00C12977"/>
    <w:rsid w:val="00C23120"/>
    <w:rsid w:val="00C23CC7"/>
    <w:rsid w:val="00C334FF"/>
    <w:rsid w:val="00C55BB9"/>
    <w:rsid w:val="00C60A91"/>
    <w:rsid w:val="00C80773"/>
    <w:rsid w:val="00CA74A4"/>
    <w:rsid w:val="00CA7C7C"/>
    <w:rsid w:val="00CB2125"/>
    <w:rsid w:val="00CB4B5A"/>
    <w:rsid w:val="00CC6C15"/>
    <w:rsid w:val="00CE6F34"/>
    <w:rsid w:val="00D0686A"/>
    <w:rsid w:val="00D14EA6"/>
    <w:rsid w:val="00D20B84"/>
    <w:rsid w:val="00D51205"/>
    <w:rsid w:val="00D57716"/>
    <w:rsid w:val="00D6032A"/>
    <w:rsid w:val="00D615B6"/>
    <w:rsid w:val="00D67AC4"/>
    <w:rsid w:val="00D979DD"/>
    <w:rsid w:val="00DA23D0"/>
    <w:rsid w:val="00E322A3"/>
    <w:rsid w:val="00E41F8D"/>
    <w:rsid w:val="00E45868"/>
    <w:rsid w:val="00E90913"/>
    <w:rsid w:val="00EA757C"/>
    <w:rsid w:val="00EB7C7E"/>
    <w:rsid w:val="00EC52BB"/>
    <w:rsid w:val="00EC5D93"/>
    <w:rsid w:val="00EC6970"/>
    <w:rsid w:val="00ED5E7F"/>
    <w:rsid w:val="00EE2479"/>
    <w:rsid w:val="00EF2038"/>
    <w:rsid w:val="00EF2A44"/>
    <w:rsid w:val="00EF59AD"/>
    <w:rsid w:val="00F24EE6"/>
    <w:rsid w:val="00F3261D"/>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745577B-9168-412B-8230-97444749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0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B2CCF"/>
    <w:rsid w:val="002D64D6"/>
    <w:rsid w:val="0032383A"/>
    <w:rsid w:val="00436B57"/>
    <w:rsid w:val="00446995"/>
    <w:rsid w:val="00455567"/>
    <w:rsid w:val="004E1A75"/>
    <w:rsid w:val="00576003"/>
    <w:rsid w:val="00587536"/>
    <w:rsid w:val="005A572C"/>
    <w:rsid w:val="005D5D2F"/>
    <w:rsid w:val="00623293"/>
    <w:rsid w:val="00654E35"/>
    <w:rsid w:val="006C3910"/>
    <w:rsid w:val="0072217E"/>
    <w:rsid w:val="008822A5"/>
    <w:rsid w:val="00884797"/>
    <w:rsid w:val="00891F77"/>
    <w:rsid w:val="00974331"/>
    <w:rsid w:val="009D439F"/>
    <w:rsid w:val="00A20583"/>
    <w:rsid w:val="00AD5D56"/>
    <w:rsid w:val="00B2559E"/>
    <w:rsid w:val="00B46AFF"/>
    <w:rsid w:val="00B72454"/>
    <w:rsid w:val="00BA0596"/>
    <w:rsid w:val="00BE0E7B"/>
    <w:rsid w:val="00CD4EF8"/>
    <w:rsid w:val="00D87B77"/>
    <w:rsid w:val="00DD12EE"/>
    <w:rsid w:val="00F0343A"/>
    <w:rsid w:val="00FB380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EE4F-37AD-4003-8AF7-D003B088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2016-08-30T17:24:00Z</dcterms:created>
  <dcterms:modified xsi:type="dcterms:W3CDTF">2016-09-13T20:35:00Z</dcterms:modified>
</cp:coreProperties>
</file>