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034565460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034565460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8487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20455256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455256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5123001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512300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F23B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F23B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23BAA" w:rsidP="00F23B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40455746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45574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F23B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F23B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Kim Pittcock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23BAA" w:rsidP="00F23B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2/17/201</w:t>
                      </w:r>
                    </w:p>
                  </w:tc>
                </w:sdtContent>
              </w:sdt>
            </w:tr>
          </w:tbl>
          <w:p w:rsidR="00AD2FB4" w:rsidRPr="00592A95" w:rsidRDefault="00F23BAA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10476935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47693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F23B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F23B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Timothy Burcham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23BA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  <w:r w:rsidR="00F23BAA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818973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1897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56171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11748552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74855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617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51750701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175070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4938E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Kim Pittcock, </w:t>
          </w:r>
          <w:hyperlink r:id="rId8" w:history="1">
            <w:r w:rsidRPr="004D31B5">
              <w:rPr>
                <w:rStyle w:val="Hyperlink"/>
                <w:rFonts w:asciiTheme="majorHAnsi" w:hAnsiTheme="majorHAnsi" w:cs="Arial"/>
                <w:sz w:val="20"/>
                <w:szCs w:val="20"/>
              </w:rPr>
              <w:t>kpittcoc@astate.edu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2847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theme="minorBidi"/>
          <w:sz w:val="20"/>
          <w:szCs w:val="20"/>
        </w:rPr>
        <w:id w:val="-1727446625"/>
      </w:sdtPr>
      <w:sdtEndPr/>
      <w:sdtContent>
        <w:p w:rsidR="00AA40CC" w:rsidRPr="00AA40CC" w:rsidRDefault="00AA40CC" w:rsidP="00AA40CC">
          <w:pPr>
            <w:pStyle w:val="Pa251"/>
            <w:rPr>
              <w:rFonts w:asciiTheme="majorHAnsi" w:hAnsiTheme="majorHAnsi"/>
              <w:sz w:val="20"/>
              <w:szCs w:val="12"/>
            </w:rPr>
          </w:pPr>
          <w:r>
            <w:rPr>
              <w:rFonts w:asciiTheme="majorHAnsi" w:hAnsiTheme="majorHAnsi"/>
              <w:sz w:val="20"/>
              <w:szCs w:val="20"/>
            </w:rPr>
            <w:t xml:space="preserve">During the redesign of the Agricultural Business program in Spring of 2016, the statement allowing students to design their own program was inadvertently omitted from the Emphasis section.  </w:t>
          </w:r>
          <w:r w:rsidRPr="00AA40CC">
            <w:rPr>
              <w:rFonts w:asciiTheme="majorHAnsi" w:hAnsiTheme="majorHAnsi"/>
              <w:color w:val="FF0000"/>
              <w:sz w:val="20"/>
              <w:szCs w:val="20"/>
            </w:rPr>
            <w:t>(</w:t>
          </w:r>
          <w:r w:rsidRPr="00AA40CC">
            <w:rPr>
              <w:color w:val="FF0000"/>
              <w:sz w:val="18"/>
              <w:szCs w:val="12"/>
            </w:rPr>
            <w:t>Student may select from one of the career specialty areas or consult an advisor and design a program to meet the student’s particular career goals.</w:t>
          </w:r>
          <w:r>
            <w:rPr>
              <w:color w:val="FF0000"/>
              <w:sz w:val="18"/>
              <w:szCs w:val="12"/>
            </w:rPr>
            <w:t>)</w:t>
          </w:r>
          <w:r w:rsidRPr="00AA40CC">
            <w:rPr>
              <w:color w:val="FF0000"/>
              <w:sz w:val="18"/>
              <w:szCs w:val="12"/>
            </w:rPr>
            <w:t xml:space="preserve"> </w:t>
          </w:r>
          <w:r>
            <w:rPr>
              <w:sz w:val="18"/>
              <w:szCs w:val="12"/>
            </w:rPr>
            <w:t xml:space="preserve"> </w:t>
          </w:r>
          <w:r w:rsidRPr="00AA40CC">
            <w:rPr>
              <w:rFonts w:asciiTheme="majorHAnsi" w:hAnsiTheme="majorHAnsi"/>
              <w:sz w:val="20"/>
              <w:szCs w:val="12"/>
            </w:rPr>
            <w:t>This statement</w:t>
          </w:r>
          <w:r>
            <w:rPr>
              <w:rFonts w:asciiTheme="majorHAnsi" w:hAnsiTheme="majorHAnsi"/>
              <w:sz w:val="20"/>
              <w:szCs w:val="12"/>
            </w:rPr>
            <w:t xml:space="preserve"> needs to be included under both the Agricultural Economics and Finance emphasis and the Agricultural Marketing and Management emphasis areas.</w:t>
          </w:r>
        </w:p>
        <w:p w:rsidR="002E3FC9" w:rsidRDefault="0056171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EE49B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AA40CC">
            <w:rPr>
              <w:rFonts w:asciiTheme="majorHAnsi" w:hAnsiTheme="majorHAnsi" w:cs="Arial"/>
              <w:sz w:val="20"/>
              <w:szCs w:val="20"/>
            </w:rPr>
            <w:t xml:space="preserve">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AA40C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option is necessary for the 2+2 program with ASU-Beebe.  Not all of the courses required in these emphasis areas are  sent </w:t>
          </w:r>
          <w:r w:rsidR="00EE49BF">
            <w:rPr>
              <w:rFonts w:asciiTheme="majorHAnsi" w:hAnsiTheme="majorHAnsi" w:cs="Arial"/>
              <w:sz w:val="20"/>
              <w:szCs w:val="20"/>
            </w:rPr>
            <w:t xml:space="preserve">(CVN or online)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Beebe.  The students have more options to take College of Business courses and other Agriculture electives (online and CVN).  The courses they take are dependent on the courses which are offered </w:t>
          </w:r>
          <w:r w:rsidR="00EE49BF">
            <w:rPr>
              <w:rFonts w:asciiTheme="majorHAnsi" w:hAnsiTheme="majorHAnsi" w:cs="Arial"/>
              <w:sz w:val="20"/>
              <w:szCs w:val="20"/>
            </w:rPr>
            <w:t xml:space="preserve">by Jonesboro </w:t>
          </w:r>
          <w:r>
            <w:rPr>
              <w:rFonts w:asciiTheme="majorHAnsi" w:hAnsiTheme="majorHAnsi" w:cs="Arial"/>
              <w:sz w:val="20"/>
              <w:szCs w:val="20"/>
            </w:rPr>
            <w:t>during their Jr. and Sr. years.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2001151977"/>
          </w:sdtPr>
          <w:sdtEndPr/>
          <w:sdtContent>
            <w:p w:rsidR="004938E6" w:rsidRPr="004938E6" w:rsidRDefault="004938E6" w:rsidP="004938E6">
              <w:pPr>
                <w:pStyle w:val="Pa7"/>
                <w:spacing w:after="80"/>
                <w:jc w:val="center"/>
                <w:rPr>
                  <w:rFonts w:cs="Myriad Pro Cond"/>
                  <w:color w:val="221E1F"/>
                  <w:sz w:val="32"/>
                  <w:szCs w:val="32"/>
                </w:rPr>
              </w:pPr>
              <w:r w:rsidRPr="004938E6">
                <w:rPr>
                  <w:rFonts w:cs="Myriad Pro Cond"/>
                  <w:b/>
                  <w:bCs/>
                  <w:color w:val="221E1F"/>
                  <w:sz w:val="32"/>
                  <w:szCs w:val="32"/>
                </w:rPr>
                <w:t xml:space="preserve">Major in Agricultural Business </w:t>
              </w:r>
            </w:p>
            <w:p w:rsidR="004938E6" w:rsidRPr="004938E6" w:rsidRDefault="004938E6" w:rsidP="004938E6">
              <w:pPr>
                <w:autoSpaceDE w:val="0"/>
                <w:autoSpaceDN w:val="0"/>
                <w:adjustRightInd w:val="0"/>
                <w:spacing w:after="0" w:line="24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4938E6">
                <w:rPr>
                  <w:rFonts w:ascii="Arial" w:hAnsi="Arial" w:cs="Arial"/>
                  <w:b/>
                  <w:bCs/>
                  <w:color w:val="221E1F"/>
                  <w:sz w:val="16"/>
                  <w:szCs w:val="16"/>
                </w:rPr>
                <w:t xml:space="preserve">Bachelor of Science in Agriculture </w:t>
              </w:r>
            </w:p>
            <w:p w:rsidR="004938E6" w:rsidRPr="004938E6" w:rsidRDefault="004938E6" w:rsidP="004938E6">
              <w:pPr>
                <w:autoSpaceDE w:val="0"/>
                <w:autoSpaceDN w:val="0"/>
                <w:adjustRightInd w:val="0"/>
                <w:spacing w:after="0" w:line="24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4938E6">
                <w:rPr>
                  <w:rFonts w:ascii="Arial" w:hAnsi="Arial" w:cs="Arial"/>
                  <w:b/>
                  <w:bCs/>
                  <w:color w:val="221E1F"/>
                  <w:sz w:val="16"/>
                  <w:szCs w:val="16"/>
                </w:rPr>
                <w:t xml:space="preserve">Emphasis in Agricultural Economics and Finance </w:t>
              </w:r>
            </w:p>
            <w:p w:rsidR="004938E6" w:rsidRPr="004938E6" w:rsidRDefault="004938E6" w:rsidP="004938E6">
              <w:pPr>
                <w:autoSpaceDE w:val="0"/>
                <w:autoSpaceDN w:val="0"/>
                <w:adjustRightInd w:val="0"/>
                <w:spacing w:after="80" w:line="24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4938E6">
                <w:rPr>
                  <w:rFonts w:ascii="Arial" w:hAnsi="Arial" w:cs="Arial"/>
                  <w:color w:val="221E1F"/>
                  <w:sz w:val="16"/>
                  <w:szCs w:val="16"/>
                </w:rPr>
                <w:t xml:space="preserve">A complete 8-semester degree plan is available at http://registrar.astate.edu/. </w:t>
              </w:r>
            </w:p>
            <w:tbl>
              <w:tblPr>
                <w:tblW w:w="0" w:type="auto"/>
                <w:tblInd w:w="-108" w:type="dxa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3216"/>
                <w:gridCol w:w="3216"/>
              </w:tblGrid>
              <w:tr w:rsidR="004938E6" w:rsidRPr="004938E6">
                <w:trPr>
                  <w:trHeight w:val="111"/>
                </w:trPr>
                <w:tc>
                  <w:tcPr>
                    <w:tcW w:w="6432" w:type="dxa"/>
                    <w:gridSpan w:val="2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6432" w:type="dxa"/>
                    <w:gridSpan w:val="2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University General Requirements for Baccalaureate degrees (p. 42)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AGRI 1213, Making Connections in Agriculture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584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General Education Curriculum for Baccalaureate degrees (p. 84)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Students with this major must take the following: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MATH 1023, College Algebra or MATH course that requires MATH 1023 as a prerequisite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CHEM 1013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AND </w:t>
                    </w: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1011, General Chemistry I and Laboratory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CHEM 1043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AND </w:t>
                    </w: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CHEM 1041, Fundamental Concepts of Chemistry and Laboratory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ECON 2313, Principles of Macroeconomics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COMS 1203, Oral Communication (Required Departmental Gen. Ed. Option)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35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College of Agriculture Core Courses: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(See Beginning of Agriculture Section)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18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Major Requirements: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ACCT 2033, Introduction to Financial Accounting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ACCT 2133, Introduction to Managerial Accounting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lastRenderedPageBreak/>
                      <w:t xml:space="preserve">AGEC 3053, Commodity Futures Markets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52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4033, Agricultural Law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LAW 2023, Legal Environment of Business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4053, Agricultural Finance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4073, Agricultural Business Management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4083, Agricultural Policy and Current Issues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52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CIT 1503, Microcomputer Applications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CS 1013, Introduction to Computers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ECON 2323, Principles of Microeconomics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52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MGMT 3153, Organizational Behavior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MGMT 3123 Principles of Management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MKTG 3013, Marketing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33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Emphasis Area (Agricultural Economics and Finance): </w:t>
                    </w:r>
                  </w:p>
                  <w:p w:rsidR="004938E6" w:rsidRPr="004938E6" w:rsidRDefault="004938E6" w:rsidP="004938E6">
                    <w:pPr>
                      <w:pStyle w:val="Pa251"/>
                      <w:rPr>
                        <w:color w:val="FF0000"/>
                        <w:sz w:val="16"/>
                        <w:szCs w:val="12"/>
                      </w:rPr>
                    </w:pPr>
                    <w:r w:rsidRPr="004938E6">
                      <w:rPr>
                        <w:rStyle w:val="A16"/>
                        <w:color w:val="FF0000"/>
                        <w:sz w:val="16"/>
                      </w:rPr>
                      <w:t xml:space="preserve">Student may select from one of the career specialty areas or consult an advisor and design a program to meet the student’s particular career goals.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CIT 3523, Operations Management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ECON 3313, Microeconomic Analysis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ECON 3323, Money and Banking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ECON 3353, Macroeconomic Analysis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FIN 3713, Business Finance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FIN 3763, Financial Institutions and Markets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MATH 2143, Business Calculus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21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Electives: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Electives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10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3216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>120</w:t>
                    </w:r>
                  </w:p>
                </w:tc>
              </w:tr>
            </w:tbl>
            <w:p w:rsidR="004938E6" w:rsidRDefault="004938E6" w:rsidP="00CD75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Pg 104</w:t>
              </w:r>
            </w:p>
            <w:p w:rsidR="004938E6" w:rsidRDefault="004938E6" w:rsidP="00CD75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:rsidR="004938E6" w:rsidRPr="004938E6" w:rsidRDefault="004938E6" w:rsidP="004938E6">
              <w:pPr>
                <w:autoSpaceDE w:val="0"/>
                <w:autoSpaceDN w:val="0"/>
                <w:adjustRightInd w:val="0"/>
                <w:spacing w:after="80" w:line="241" w:lineRule="atLeast"/>
                <w:jc w:val="center"/>
                <w:rPr>
                  <w:rFonts w:ascii="Myriad Pro Cond" w:hAnsi="Myriad Pro Cond" w:cs="Myriad Pro Cond"/>
                  <w:color w:val="221E1F"/>
                  <w:sz w:val="32"/>
                  <w:szCs w:val="32"/>
                </w:rPr>
              </w:pPr>
              <w:r w:rsidRPr="004938E6">
                <w:rPr>
                  <w:rFonts w:ascii="Myriad Pro Cond" w:hAnsi="Myriad Pro Cond" w:cs="Myriad Pro Cond"/>
                  <w:b/>
                  <w:bCs/>
                  <w:color w:val="221E1F"/>
                  <w:sz w:val="32"/>
                  <w:szCs w:val="32"/>
                </w:rPr>
                <w:t xml:space="preserve">Major in Agricultural Business </w:t>
              </w:r>
            </w:p>
            <w:p w:rsidR="004938E6" w:rsidRPr="004938E6" w:rsidRDefault="004938E6" w:rsidP="004938E6">
              <w:pPr>
                <w:autoSpaceDE w:val="0"/>
                <w:autoSpaceDN w:val="0"/>
                <w:adjustRightInd w:val="0"/>
                <w:spacing w:after="0" w:line="24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4938E6">
                <w:rPr>
                  <w:rFonts w:ascii="Arial" w:hAnsi="Arial" w:cs="Arial"/>
                  <w:b/>
                  <w:bCs/>
                  <w:color w:val="221E1F"/>
                  <w:sz w:val="16"/>
                  <w:szCs w:val="16"/>
                </w:rPr>
                <w:t xml:space="preserve">Bachelor of Science in Agriculture </w:t>
              </w:r>
            </w:p>
            <w:p w:rsidR="004938E6" w:rsidRPr="004938E6" w:rsidRDefault="004938E6" w:rsidP="004938E6">
              <w:pPr>
                <w:autoSpaceDE w:val="0"/>
                <w:autoSpaceDN w:val="0"/>
                <w:adjustRightInd w:val="0"/>
                <w:spacing w:after="0" w:line="24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4938E6">
                <w:rPr>
                  <w:rFonts w:ascii="Arial" w:hAnsi="Arial" w:cs="Arial"/>
                  <w:b/>
                  <w:bCs/>
                  <w:color w:val="221E1F"/>
                  <w:sz w:val="16"/>
                  <w:szCs w:val="16"/>
                </w:rPr>
                <w:t xml:space="preserve">Emphasis in Agricultural Marketing and Management </w:t>
              </w:r>
            </w:p>
            <w:p w:rsidR="004938E6" w:rsidRPr="004938E6" w:rsidRDefault="004938E6" w:rsidP="004938E6">
              <w:pPr>
                <w:autoSpaceDE w:val="0"/>
                <w:autoSpaceDN w:val="0"/>
                <w:adjustRightInd w:val="0"/>
                <w:spacing w:after="80" w:line="24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4938E6">
                <w:rPr>
                  <w:rFonts w:ascii="Arial" w:hAnsi="Arial" w:cs="Arial"/>
                  <w:color w:val="221E1F"/>
                  <w:sz w:val="16"/>
                  <w:szCs w:val="16"/>
                </w:rPr>
                <w:t xml:space="preserve">A complete 8-semester degree plan is available at http://registrar.astate.edu/. </w:t>
              </w:r>
            </w:p>
            <w:tbl>
              <w:tblPr>
                <w:tblW w:w="0" w:type="auto"/>
                <w:tblInd w:w="-108" w:type="dxa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3163"/>
                <w:gridCol w:w="3164"/>
              </w:tblGrid>
              <w:tr w:rsidR="004938E6" w:rsidRPr="004938E6">
                <w:trPr>
                  <w:trHeight w:val="111"/>
                </w:trPr>
                <w:tc>
                  <w:tcPr>
                    <w:tcW w:w="6327" w:type="dxa"/>
                    <w:gridSpan w:val="2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6327" w:type="dxa"/>
                    <w:gridSpan w:val="2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University General Requirements for Baccalaureate degrees (p. 42)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AGRI 1213, Making Connections in Agriculture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584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General Education Curriculum for Baccalaureate degrees (p. 84)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Students with this major must take the following: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MATH 1023, College Algebra or MATH course that requires MATH 1023 as a prerequisite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CHEM 1013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AND </w:t>
                    </w: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1011, General Chemistry I and Laboratory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CHEM 1043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AND </w:t>
                    </w: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CHEM 1041, Fundamental Concepts of Chemistry and Laboratory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ECON 2313, Principles of Macroeconomics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COMS 1203, Oral Communication (Required Departmental Gen. Ed. Option)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35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College of Agriculture Core Courses: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lastRenderedPageBreak/>
                      <w:t xml:space="preserve">(See Beginning of Agriculture Section)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18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Major Requirements: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ACCT 2033, Introduction to Financial Accounting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ACCT 2133, Introduction to Managerial Accounting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3053, Commodity Futures Markets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52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4033, Agricultural Law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LAW 2023, Legal Environment of Business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4053, Agricultural Finance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4073, Agricultural Business Management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4083, Agricultural Policy and Current Issues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52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CIT 1503, Microcomputer Applications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CS 1013, Introduction to Computers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ECON 2323, Principles of Microeconomics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152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MGMT 3153, Organizational Behavior </w:t>
                    </w: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MGMT 3123 Principles of Management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MKTG 3013, Marketing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33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Emphasis Area (Agricultural Marketing and Management): </w:t>
                    </w:r>
                  </w:p>
                  <w:p w:rsidR="004938E6" w:rsidRPr="004938E6" w:rsidRDefault="004938E6" w:rsidP="004938E6">
                    <w:pPr>
                      <w:pStyle w:val="Pa251"/>
                      <w:rPr>
                        <w:color w:val="FF0000"/>
                        <w:sz w:val="16"/>
                        <w:szCs w:val="12"/>
                      </w:rPr>
                    </w:pPr>
                    <w:r w:rsidRPr="004938E6">
                      <w:rPr>
                        <w:rStyle w:val="A16"/>
                        <w:color w:val="FF0000"/>
                        <w:sz w:val="16"/>
                      </w:rPr>
                      <w:t xml:space="preserve">Student may select from one of the career specialty areas or consult an advisor and design a program to meet the student’s particular career goals. </w:t>
                    </w:r>
                  </w:p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3003, Agricultural Marketing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3013, Agricultural Records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3063, Agricultural Sales and Services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4013, Farm Appraisal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4023, International Commodity Marketing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79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AGEC 4043, Land Economics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18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Electives: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4938E6" w:rsidRPr="004938E6">
                <w:trPr>
                  <w:trHeight w:val="83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Electives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13 </w:t>
                    </w:r>
                  </w:p>
                </w:tc>
              </w:tr>
              <w:tr w:rsidR="004938E6" w:rsidRPr="004938E6">
                <w:trPr>
                  <w:trHeight w:val="111"/>
                </w:trPr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3163" w:type="dxa"/>
                  </w:tcPr>
                  <w:p w:rsidR="004938E6" w:rsidRPr="004938E6" w:rsidRDefault="004938E6" w:rsidP="004938E6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4938E6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>120</w:t>
                    </w:r>
                  </w:p>
                </w:tc>
              </w:tr>
            </w:tbl>
            <w:p w:rsidR="004938E6" w:rsidRDefault="004938E6" w:rsidP="00CD75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Pg 105</w:t>
              </w:r>
            </w:p>
            <w:p w:rsidR="00CD7510" w:rsidRPr="008426D1" w:rsidRDefault="0056171B" w:rsidP="00CD75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0B" w:rsidRDefault="0022350B" w:rsidP="00AF3758">
      <w:pPr>
        <w:spacing w:after="0" w:line="240" w:lineRule="auto"/>
      </w:pPr>
      <w:r>
        <w:separator/>
      </w:r>
    </w:p>
  </w:endnote>
  <w:endnote w:type="continuationSeparator" w:id="0">
    <w:p w:rsidR="0022350B" w:rsidRDefault="0022350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0B" w:rsidRDefault="0022350B" w:rsidP="00AF3758">
      <w:pPr>
        <w:spacing w:after="0" w:line="240" w:lineRule="auto"/>
      </w:pPr>
      <w:r>
        <w:separator/>
      </w:r>
    </w:p>
  </w:footnote>
  <w:footnote w:type="continuationSeparator" w:id="0">
    <w:p w:rsidR="0022350B" w:rsidRDefault="0022350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84874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1214D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8E6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A40CC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49BF"/>
    <w:rsid w:val="00EE55A2"/>
    <w:rsid w:val="00EF2A44"/>
    <w:rsid w:val="00F01A8B"/>
    <w:rsid w:val="00F0489A"/>
    <w:rsid w:val="00F11CE3"/>
    <w:rsid w:val="00F23BAA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7">
    <w:name w:val="Pa7"/>
    <w:basedOn w:val="Normal"/>
    <w:next w:val="Normal"/>
    <w:uiPriority w:val="99"/>
    <w:rsid w:val="004938E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4938E6"/>
    <w:rPr>
      <w:rFonts w:cs="Myriad Pro Cond"/>
      <w:b/>
      <w:bCs/>
      <w:color w:val="221E1F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4938E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4938E6"/>
    <w:rPr>
      <w:rFonts w:ascii="Arial" w:hAnsi="Arial" w:cs="Arial"/>
      <w:b/>
      <w:bCs/>
      <w:color w:val="221E1F"/>
      <w:sz w:val="16"/>
      <w:szCs w:val="16"/>
    </w:rPr>
  </w:style>
  <w:style w:type="paragraph" w:customStyle="1" w:styleId="Pa19">
    <w:name w:val="Pa19"/>
    <w:basedOn w:val="Normal"/>
    <w:next w:val="Normal"/>
    <w:uiPriority w:val="99"/>
    <w:rsid w:val="004938E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0">
    <w:name w:val="Pa240"/>
    <w:basedOn w:val="Normal"/>
    <w:next w:val="Normal"/>
    <w:uiPriority w:val="99"/>
    <w:rsid w:val="004938E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4938E6"/>
    <w:rPr>
      <w:rFonts w:ascii="Arial" w:hAnsi="Arial" w:cs="Arial"/>
      <w:b/>
      <w:bCs/>
      <w:color w:val="221E1F"/>
      <w:sz w:val="12"/>
      <w:szCs w:val="12"/>
    </w:rPr>
  </w:style>
  <w:style w:type="paragraph" w:customStyle="1" w:styleId="Pa197">
    <w:name w:val="Pa197"/>
    <w:basedOn w:val="Normal"/>
    <w:next w:val="Normal"/>
    <w:uiPriority w:val="99"/>
    <w:rsid w:val="004938E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4938E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4938E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4938E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7">
    <w:name w:val="Pa277"/>
    <w:basedOn w:val="Normal"/>
    <w:next w:val="Normal"/>
    <w:uiPriority w:val="99"/>
    <w:rsid w:val="004938E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1">
    <w:name w:val="Pa251"/>
    <w:basedOn w:val="Normal"/>
    <w:next w:val="Normal"/>
    <w:uiPriority w:val="99"/>
    <w:rsid w:val="004938E6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ittcoc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CB4C52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CB4C52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B4C52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KIM PITTCOCK</cp:lastModifiedBy>
  <cp:revision>6</cp:revision>
  <dcterms:created xsi:type="dcterms:W3CDTF">2016-12-05T21:20:00Z</dcterms:created>
  <dcterms:modified xsi:type="dcterms:W3CDTF">2017-02-21T15:14:00Z</dcterms:modified>
</cp:coreProperties>
</file>